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Turkey</w:t>
      </w:r>
      <w:r>
        <w:t xml:space="preserve"> </w:t>
      </w:r>
      <w:r>
        <w:t xml:space="preserve">Istanbul</w:t>
      </w:r>
    </w:p>
    <w:bookmarkStart w:id="21" w:name="bosphorus-health-clinic-medical-services"/>
    <w:p>
      <w:pPr>
        <w:pStyle w:val="Heading1"/>
      </w:pPr>
      <w:r>
        <w:t xml:space="preserve">Bosphorus Health Clinic &amp; Medical Services</w:t>
      </w:r>
    </w:p>
    <w:bookmarkStart w:id="20" w:name="Xfe9e7657246576d32feaa963cac33b7bfbe4064"/>
    <w:p>
      <w:pPr>
        <w:pStyle w:val="Heading2"/>
      </w:pPr>
      <w:r>
        <w:t xml:space="preserve">Doctor General Practitioner Services | Turkey Istanbul</w:t>
      </w:r>
    </w:p>
    <w:p>
      <w:pPr>
        <w:pStyle w:val="FirstParagraph"/>
      </w:pPr>
      <w:r>
        <w:t xml:space="preserve">Address: Nispetiye Caddesi No. 42, Bebek, 34340 Istanbul, Turkey</w:t>
      </w:r>
      <w:r>
        <w:br/>
      </w:r>
      <w:r>
        <w:t xml:space="preserve">Phone: +90 212 555 0142 | Email: info@bosphorushealth.com.tr</w:t>
      </w:r>
      <w:r>
        <w:br/>
      </w:r>
      <w:r>
        <w:t xml:space="preserve">Tax ID (Vergi No): 1234567890 | MERSIS: 1230012345678901</w:t>
      </w:r>
    </w:p>
    <w:bookmarkEnd w:id="20"/>
    <w:bookmarkEnd w:id="21"/>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QTE-2025-IST-00847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 (Client):</w:t>
            </w:r>
          </w:p>
        </w:tc>
        <w:tc>
          <w:tcPr/>
          <w:p>
            <w:pPr>
              <w:pStyle w:val="Compact"/>
              <w:jc w:val="left"/>
            </w:pPr>
            <w:r>
              <w:t xml:space="preserve">Mr. James A. Whitfield – Private Medical Consultation</w:t>
            </w:r>
          </w:p>
        </w:tc>
      </w:tr>
      <w:tr>
        <w:tc>
          <w:tcPr/>
          <w:p>
            <w:pPr>
              <w:pStyle w:val="Compact"/>
              <w:jc w:val="left"/>
            </w:pPr>
            <w:r>
              <w:t xml:space="preserve">Client Address:</w:t>
            </w:r>
          </w:p>
        </w:tc>
        <w:tc>
          <w:tcPr/>
          <w:p>
            <w:pPr>
              <w:pStyle w:val="Compact"/>
              <w:jc w:val="left"/>
            </w:pPr>
            <w:r>
              <w:t xml:space="preserve">Levent Business District, Sarıyer, 34330 Istanbul, Turkey</w:t>
            </w:r>
          </w:p>
        </w:tc>
      </w:tr>
      <w:tr>
        <w:tc>
          <w:tcPr/>
          <w:p>
            <w:pPr>
              <w:pStyle w:val="Compact"/>
              <w:jc w:val="left"/>
            </w:pPr>
            <w:r>
              <w:t xml:space="preserve">Service Category:</w:t>
            </w:r>
          </w:p>
        </w:tc>
        <w:tc>
          <w:tcPr/>
          <w:p>
            <w:pPr>
              <w:pStyle w:val="Compact"/>
              <w:jc w:val="left"/>
            </w:pPr>
            <w:r>
              <w:t xml:space="preserve">Doctor General Practitioner – Comprehensive Primary Care Package</w:t>
            </w:r>
          </w:p>
        </w:tc>
      </w:tr>
      <w:tr>
        <w:tc>
          <w:tcPr/>
          <w:p>
            <w:pPr>
              <w:pStyle w:val="Compact"/>
              <w:jc w:val="left"/>
            </w:pPr>
            <w:r>
              <w:t xml:space="preserve">Service Location:</w:t>
            </w:r>
          </w:p>
        </w:tc>
        <w:tc>
          <w:tcPr/>
          <w:p>
            <w:pPr>
              <w:pStyle w:val="Compact"/>
              <w:jc w:val="left"/>
            </w:pPr>
            <w:r>
              <w:t xml:space="preserve">Bosphorus Health Clinic, Bebek, Turkey Istanbul</w:t>
            </w:r>
          </w:p>
        </w:tc>
      </w:tr>
      <w:tr>
        <w:tc>
          <w:tcPr/>
          <w:p>
            <w:pPr>
              <w:pStyle w:val="Compact"/>
              <w:jc w:val="left"/>
            </w:pPr>
            <w:r>
              <w:t xml:space="preserve">Language of Service:</w:t>
            </w:r>
          </w:p>
        </w:tc>
        <w:tc>
          <w:tcPr/>
          <w:p>
            <w:pPr>
              <w:pStyle w:val="Compact"/>
              <w:jc w:val="left"/>
            </w:pPr>
            <w:r>
              <w:t xml:space="preserve">English / Turkish (bilingual Doctor General Practitioner available)</w:t>
            </w:r>
          </w:p>
        </w:tc>
      </w:tr>
    </w:tbl>
    <w:p>
      <w:pPr>
        <w:pStyle w:val="BodyText"/>
      </w:pPr>
      <w:r>
        <w:t xml:space="preserve">1. Scope of Services – Doctor General Practitioner, Turkey Istanbul</w:t>
      </w:r>
    </w:p>
    <w:p>
      <w:pPr>
        <w:pStyle w:val="BodyText"/>
      </w:pPr>
      <w:r>
        <w:t xml:space="preserve">This</w:t>
      </w:r>
      <w:r>
        <w:t xml:space="preserve"> </w:t>
      </w:r>
      <w:r>
        <w:t xml:space="preserve">Quotation Estimate</w:t>
      </w:r>
      <w:r>
        <w:t xml:space="preserve"> </w:t>
      </w:r>
      <w:r>
        <w:t xml:space="preserve">is issued by Bosphorus Health Clinic to provide a detailed financial breakdown for the engagement of a</w:t>
      </w:r>
      <w:r>
        <w:t xml:space="preserve"> </w:t>
      </w:r>
      <w:r>
        <w:t xml:space="preserve">Doctor General Practitioner</w:t>
      </w:r>
      <w:r>
        <w:t xml:space="preserve"> </w:t>
      </w:r>
      <w:r>
        <w:t xml:space="preserve">based in</w:t>
      </w:r>
      <w:r>
        <w:t xml:space="preserve"> </w:t>
      </w:r>
      <w:r>
        <w:t xml:space="preserve">Turkey Istanbul</w:t>
      </w:r>
      <w:r>
        <w:t xml:space="preserve">. The Doctor General Practitioner will deliver comprehensive primary medical care, preventive health screenings, diagnostic assessments, and ongoing health management tailored to the client's individual needs. All services will be rendered at our fully equipped clinic facility located in the Bebek district of Turkey Istanbul, in compliance with the regulations set forth by the Turkish Ministry of Health (Sağlık Bakanlığı) and the Istanbul Provincial Directorate of Health.</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Unit Price (USD)</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Doctor General Practitioner Consultation (60 min) – Full medical history review, physical examination, and preliminary diagnosis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75.00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Comprehensive Blood Panel (CBC, Lipid Profile, Liver &amp; Kidney Function, Thyroid Panel, HbA1c, Vitamin D &amp; B12)</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96.00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12-Lead Electrocardiogram (ECG) with Doctor General Practitioner Interpretation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25.50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Abdominal &amp; Pelvic Ultrasound (Doppler) – Performed and reviewed by the Doctor General Practitioner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54.00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Chest X-Ray (PA View) with Digital Imaging and Doctor General Practitioner Report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28.50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Follow-up Doctor General Practitioner Consultation (30 min) – Review of lab results, treatment plan discussion, and prescription</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45.00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Preventive Health Screening Package (Annual) – Includes BP monitoring, BMI assessment, dermatological check, and lifestyle counseling by the Doctor General Practitioner</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60.00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Pharmaceutical Supply (30-day prescription) – Dispensed at clinic pharmacy in Turkey Istanbul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36.00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Medical Report &amp; Documentation (English &amp; Turkish) – Certified by the Doctor General Practitioner for insurance or visa purposes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22.50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Home Visit by Doctor General Practitioner (within Istanbul city limits) – For post-consultation check-up</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84.00</w:t>
            </w:r>
          </w:p>
        </w:tc>
        <w:tc>
          <w:tcPr/>
          <w:p>
            <w:pPr>
              <w:pStyle w:val="Compact"/>
              <w:jc w:val="left"/>
            </w:pPr>
            <w:r>
              <w:t xml:space="preserve">2,800.00</w:t>
            </w:r>
          </w:p>
        </w:tc>
      </w:tr>
      <w:tr>
        <w:tc>
          <w:tcPr>
            <w:gridSpan w:val="5"/>
          </w:tcPr>
          <w:p>
            <w:pPr>
              <w:pStyle w:val="Compact"/>
              <w:jc w:val="right"/>
            </w:pPr>
            <w:r>
              <w:t xml:space="preserve">Subtotal:</w:t>
            </w:r>
          </w:p>
        </w:tc>
        <w:tc>
          <w:tcPr/>
          <w:p>
            <w:pPr>
              <w:pStyle w:val="Compact"/>
              <w:jc w:val="left"/>
            </w:pPr>
            <w:r>
              <w:t xml:space="preserve">19,050.00</w:t>
            </w:r>
          </w:p>
        </w:tc>
      </w:tr>
      <w:tr>
        <w:tc>
          <w:tcPr>
            <w:gridSpan w:val="5"/>
          </w:tcPr>
          <w:p>
            <w:pPr>
              <w:pStyle w:val="Compact"/>
              <w:jc w:val="right"/>
            </w:pPr>
            <w:r>
              <w:t xml:space="preserve">VAT (KDV) – 20%:</w:t>
            </w:r>
          </w:p>
        </w:tc>
        <w:tc>
          <w:tcPr/>
          <w:p>
            <w:pPr>
              <w:pStyle w:val="Compact"/>
              <w:jc w:val="left"/>
            </w:pPr>
            <w:r>
              <w:t xml:space="preserve">3,810.00</w:t>
            </w:r>
          </w:p>
        </w:tc>
      </w:tr>
      <w:tr>
        <w:tc>
          <w:tcPr>
            <w:gridSpan w:val="5"/>
          </w:tcPr>
          <w:p>
            <w:pPr>
              <w:pStyle w:val="Compact"/>
              <w:jc w:val="right"/>
            </w:pPr>
            <w:r>
              <w:t xml:space="preserve">TOTAL AMOUNT DUE:</w:t>
            </w:r>
          </w:p>
        </w:tc>
        <w:tc>
          <w:tcPr/>
          <w:p>
            <w:pPr>
              <w:pStyle w:val="Compact"/>
              <w:jc w:val="left"/>
            </w:pPr>
            <w:r>
              <w:t xml:space="preserve">22,860.00 TRY</w:t>
            </w:r>
          </w:p>
        </w:tc>
      </w:tr>
    </w:tbl>
    <w:p>
      <w:pPr>
        <w:pStyle w:val="BodyText"/>
      </w:pPr>
      <w:r>
        <w:t xml:space="preserve">* USD conversion is indicative at a rate of 1 USD = 33.33 TRY as of the date of this Quotation Estimate. Final settlement will be in Turkish Lira (TRY) unless otherwise agreed in writing.</w:t>
      </w:r>
    </w:p>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prices may be subject to revision due to currency fluctuations, pharmaceutical cost changes, or updated fee schedules of the Doctor General Practitioner in Turkey Istanbul.</w:t>
      </w:r>
    </w:p>
    <w:p>
      <w:pPr>
        <w:numPr>
          <w:ilvl w:val="0"/>
          <w:numId w:val="1001"/>
        </w:numPr>
        <w:pStyle w:val="Compact"/>
      </w:pPr>
      <w:r>
        <w:t xml:space="preserve">All services listed herein will be performed by a licensed Doctor General Practitioner registered with the Istanbul Medical Association (İstanbul Tabip Odası) and holding a valid practice permit from the Turkish Ministry of Health.</w:t>
      </w:r>
    </w:p>
    <w:p>
      <w:pPr>
        <w:numPr>
          <w:ilvl w:val="0"/>
          <w:numId w:val="1001"/>
        </w:numPr>
        <w:pStyle w:val="Compact"/>
      </w:pPr>
      <w:r>
        <w:t xml:space="preserve">The Doctor General Practitioner reserves the right to refer the client to a specialist (cardiologist, gastroenterologist, etc.) if the initial assessment warrants further investigation. Any specialist referral fees are not included in this Quotation Estimate and will be quoted separately.</w:t>
      </w:r>
    </w:p>
    <w:p>
      <w:pPr>
        <w:numPr>
          <w:ilvl w:val="0"/>
          <w:numId w:val="1001"/>
        </w:numPr>
        <w:pStyle w:val="Compact"/>
      </w:pPr>
      <w:r>
        <w:t xml:space="preserve">Payment is due within fourteen (14) days of the date of this Quotation Estimate. Accepted payment methods include bank transfer (IBAN), credit/debit card, and cash at the clinic reception in Turkey Istanbul. A 2% late payment surcharge will apply after the due date.</w:t>
      </w:r>
    </w:p>
    <w:p>
      <w:pPr>
        <w:numPr>
          <w:ilvl w:val="0"/>
          <w:numId w:val="1001"/>
        </w:numPr>
        <w:pStyle w:val="Compact"/>
      </w:pPr>
      <w:r>
        <w:t xml:space="preserve">The client acknowledges that this Quotation Estimate does not constitute a binding medical diagnosis or guarantee of specific health outcomes. The Doctor General Practitioner will exercise professional medical judgment in all consultations and treatments.</w:t>
      </w:r>
    </w:p>
    <w:p>
      <w:pPr>
        <w:numPr>
          <w:ilvl w:val="0"/>
          <w:numId w:val="1001"/>
        </w:numPr>
        <w:pStyle w:val="Compact"/>
      </w:pPr>
      <w:r>
        <w:t xml:space="preserve">All medical records, laboratory results, and imaging obtained during the engagement of the Doctor General Practitioner will be stored in compliance with Turkey's Personal Data Protection Law (KVKK – Law No. 6698) and the Turkish Medical Ethics Code.</w:t>
      </w:r>
    </w:p>
    <w:p>
      <w:pPr>
        <w:numPr>
          <w:ilvl w:val="0"/>
          <w:numId w:val="1001"/>
        </w:numPr>
        <w:pStyle w:val="Compact"/>
      </w:pPr>
      <w:r>
        <w:t xml:space="preserve">Cancellations or rescheduling of appointments must be communicated at least 24 hours in advance. Cancellations made less than 24 hours prior to the scheduled visit will incur a 50% fee of the Doctor General Practitioner consultation charge.</w:t>
      </w:r>
    </w:p>
    <w:p>
      <w:pPr>
        <w:numPr>
          <w:ilvl w:val="0"/>
          <w:numId w:val="1001"/>
        </w:numPr>
        <w:pStyle w:val="Compact"/>
      </w:pPr>
      <w:r>
        <w:t xml:space="preserve">This Quotation Estimate covers services rendered exclusively at the Bosphorus Health Clinic facility in Bebek, Turkey Istanbul, and the designated home visit location within Istanbul city limits. Travel to other provinces is not included.</w:t>
      </w:r>
    </w:p>
    <w:p>
      <w:pPr>
        <w:numPr>
          <w:ilvl w:val="0"/>
          <w:numId w:val="1001"/>
        </w:numPr>
        <w:pStyle w:val="Compact"/>
      </w:pPr>
      <w:r>
        <w:t xml:space="preserve">In the event of a medical emergency arising during a Doctor General Practitioner consultation, the client will be transferred to the nearest emergency department (Acil Servis) at the client's own expense, unless pre-arranged insurance coverage applies.</w:t>
      </w:r>
    </w:p>
    <w:p>
      <w:pPr>
        <w:numPr>
          <w:ilvl w:val="0"/>
          <w:numId w:val="1001"/>
        </w:numPr>
        <w:pStyle w:val="Compact"/>
      </w:pPr>
      <w:r>
        <w:t xml:space="preserve">Any disputes arising from this Quotation Estimate shall be governed by the laws of the Republic of Turkey, and the competent courts of Istanbul shall have exclusive jurisdiction.</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Doctor General Practitioner services in Turkey Istanbul. The engagement of the Doctor General Practitioner shall commence upon full payment or upon the execution of a separate service agreement.</w:t>
      </w:r>
    </w:p>
    <w:p>
      <w:pPr>
        <w:pStyle w:val="BodyText"/>
      </w:pPr>
      <w:r>
        <w:rPr>
          <w:bCs/>
          <w:b/>
        </w:rPr>
        <w:t xml:space="preserve">For Bosphorus Health Clinic</w:t>
      </w:r>
    </w:p>
    <w:p>
      <w:pPr>
        <w:pStyle w:val="BodyText"/>
      </w:pPr>
      <w:r>
        <w:t xml:space="preserve">Dr. Ayşe Kaya, MD</w:t>
      </w:r>
    </w:p>
    <w:p>
      <w:pPr>
        <w:pStyle w:val="BodyText"/>
      </w:pPr>
      <w:r>
        <w:t xml:space="preserve">Doctor General Practitioner – Lead Physician</w:t>
      </w:r>
    </w:p>
    <w:p>
      <w:pPr>
        <w:pStyle w:val="BodyText"/>
      </w:pPr>
      <w:r>
        <w:t xml:space="preserve">License No: IST-2019-44821</w:t>
      </w:r>
    </w:p>
    <w:p>
      <w:pPr>
        <w:pStyle w:val="BodyText"/>
      </w:pPr>
      <w:r>
        <w:t xml:space="preserve">Signature: _________________________</w:t>
      </w:r>
    </w:p>
    <w:p>
      <w:pPr>
        <w:pStyle w:val="BodyText"/>
      </w:pPr>
      <w:r>
        <w:t xml:space="preserve">Date: 15 June 2025</w:t>
      </w:r>
    </w:p>
    <w:p>
      <w:pPr>
        <w:pStyle w:val="BodyText"/>
      </w:pPr>
      <w:r>
        <w:rPr>
          <w:bCs/>
          <w:b/>
        </w:rPr>
        <w:t xml:space="preserve">Client Acknowledgment</w:t>
      </w:r>
    </w:p>
    <w:p>
      <w:pPr>
        <w:pStyle w:val="BodyText"/>
      </w:pPr>
      <w:r>
        <w:t xml:space="preserve">Mr. James A. Whitfield</w:t>
      </w:r>
    </w:p>
    <w:p>
      <w:pPr>
        <w:pStyle w:val="BodyText"/>
      </w:pPr>
      <w:r>
        <w:t xml:space="preserve">Client / Patient</w:t>
      </w:r>
    </w:p>
    <w:p>
      <w:pPr>
        <w:pStyle w:val="BodyText"/>
      </w:pPr>
      <w:r>
        <w:t xml:space="preserve">Signature: _________________________</w:t>
      </w:r>
    </w:p>
    <w:p>
      <w:pPr>
        <w:pStyle w:val="BodyText"/>
      </w:pPr>
      <w:r>
        <w:t xml:space="preserve">Date: _______________</w:t>
      </w:r>
    </w:p>
    <w:p>
      <w:pPr>
        <w:pStyle w:val="BodyText"/>
      </w:pPr>
      <w:r>
        <w:t xml:space="preserve">Bosphorus Health Clinic &amp; Medical Services | Nispetiye Caddesi No. 42, Bebek, 34340 Istanbul, Turkey</w:t>
      </w:r>
      <w:r>
        <w:br/>
      </w:r>
      <w:r>
        <w:t xml:space="preserve">This Quotation Estimate was generated on 15 June 2025. Document Reference: QTE-2025-IST-00847</w:t>
      </w:r>
      <w:r>
        <w:br/>
      </w:r>
      <w:r>
        <w:t xml:space="preserve">For inquiries regarding this Doctor General Practitioner Quotation Estimate in Turkey Istanbul, please contact our patient services desk at +90 212 555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Turkey Istanbul</dc:title>
  <dc:creator/>
  <dc:language>en</dc:language>
  <cp:keywords/>
  <dcterms:created xsi:type="dcterms:W3CDTF">2026-10-10T08:32:23Z</dcterms:created>
  <dcterms:modified xsi:type="dcterms:W3CDTF">2026-10-10T08:32:23Z</dcterms:modified>
</cp:coreProperties>
</file>

<file path=docProps/custom.xml><?xml version="1.0" encoding="utf-8"?>
<Properties xmlns="http://schemas.openxmlformats.org/officeDocument/2006/custom-properties" xmlns:vt="http://schemas.openxmlformats.org/officeDocument/2006/docPropsVTypes"/>
</file>