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quotation-estimate"/>
    <w:p>
      <w:pPr>
        <w:pStyle w:val="Heading1"/>
      </w:pPr>
      <w:r>
        <w:t xml:space="preserve">Quotation Estimate</w:t>
      </w:r>
    </w:p>
    <w:p>
      <w:pPr>
        <w:pStyle w:val="FirstParagraph"/>
      </w:pPr>
      <w:r>
        <w:t xml:space="preserve">Doctor General Practitioner Services</w:t>
      </w:r>
    </w:p>
    <w:p>
      <w:pPr>
        <w:pStyle w:val="BodyText"/>
      </w:pPr>
      <w:r>
        <w:t xml:space="preserve">United Arab Emirates — Abu Dhabi</w:t>
      </w:r>
    </w:p>
    <w:p>
      <w:pPr>
        <w:pStyle w:val="BodyText"/>
      </w:pPr>
      <w:r>
        <w:t xml:space="preserve">Document Reference: QE-DGP-AD-2025-0472</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Date</w:t>
            </w:r>
          </w:p>
        </w:tc>
        <w:tc>
          <w:tcPr/>
          <w:p>
            <w:pPr>
              <w:pStyle w:val="Compact"/>
              <w:jc w:val="left"/>
            </w:pPr>
            <w:r>
              <w:t xml:space="preserve">15 June 2025</w:t>
            </w:r>
          </w:p>
        </w:tc>
        <w:tc>
          <w:tcPr/>
          <w:p>
            <w:pPr>
              <w:pStyle w:val="Compact"/>
              <w:jc w:val="left"/>
            </w:pPr>
            <w:r>
              <w:t xml:space="preserve">Validity Period</w:t>
            </w:r>
          </w:p>
        </w:tc>
        <w:tc>
          <w:tcPr/>
          <w:p>
            <w:pPr>
              <w:pStyle w:val="Compact"/>
              <w:jc w:val="left"/>
            </w:pPr>
            <w:r>
              <w:t xml:space="preserve">30 Days (until 15 July 2025)</w:t>
            </w:r>
          </w:p>
        </w:tc>
      </w:tr>
      <w:tr>
        <w:tc>
          <w:tcPr/>
          <w:p>
            <w:pPr>
              <w:pStyle w:val="Compact"/>
              <w:jc w:val="left"/>
            </w:pPr>
            <w:r>
              <w:t xml:space="preserve">Prepared By</w:t>
            </w:r>
          </w:p>
        </w:tc>
        <w:tc>
          <w:tcPr/>
          <w:p>
            <w:pPr>
              <w:pStyle w:val="Compact"/>
              <w:jc w:val="left"/>
            </w:pPr>
            <w:r>
              <w:t xml:space="preserve">Dr. Khalid Al Mansoori, MD — Doctor General Practitioner</w:t>
            </w:r>
          </w:p>
        </w:tc>
        <w:tc>
          <w:tcPr/>
          <w:p>
            <w:pPr>
              <w:pStyle w:val="Compact"/>
              <w:jc w:val="left"/>
            </w:pPr>
            <w:r>
              <w:t xml:space="preserve">License No.</w:t>
            </w:r>
          </w:p>
        </w:tc>
        <w:tc>
          <w:tcPr/>
          <w:p>
            <w:pPr>
              <w:pStyle w:val="Compact"/>
              <w:jc w:val="left"/>
            </w:pPr>
            <w:r>
              <w:t xml:space="preserve">DHA-AD-2019-88341</w:t>
            </w:r>
          </w:p>
        </w:tc>
      </w:tr>
      <w:tr>
        <w:tc>
          <w:tcPr/>
          <w:p>
            <w:pPr>
              <w:pStyle w:val="Compact"/>
              <w:jc w:val="left"/>
            </w:pPr>
            <w:r>
              <w:t xml:space="preserve">Practice Address</w:t>
            </w:r>
          </w:p>
        </w:tc>
        <w:tc>
          <w:tcPr>
            <w:gridSpan w:val="3"/>
          </w:tcPr>
          <w:p>
            <w:pPr>
              <w:pStyle w:val="Compact"/>
              <w:jc w:val="left"/>
            </w:pPr>
            <w:r>
              <w:t xml:space="preserve">Al Reem Island, Corniche Road, Building 14, Suite 302, Abu Dhabi, United Arab Emirates</w:t>
            </w:r>
          </w:p>
        </w:tc>
      </w:tr>
      <w:tr>
        <w:tc>
          <w:tcPr/>
          <w:p>
            <w:pPr>
              <w:pStyle w:val="Compact"/>
              <w:jc w:val="left"/>
            </w:pPr>
            <w:r>
              <w:t xml:space="preserve">Contact</w:t>
            </w:r>
          </w:p>
        </w:tc>
        <w:tc>
          <w:tcPr/>
          <w:p>
            <w:pPr>
              <w:pStyle w:val="Compact"/>
              <w:jc w:val="left"/>
            </w:pPr>
            <w:r>
              <w:t xml:space="preserve">+971 2 555 0147 | dr.khalid@adgpclinic.ae</w:t>
            </w:r>
          </w:p>
        </w:tc>
        <w:tc>
          <w:tcPr/>
          <w:p>
            <w:pPr>
              <w:pStyle w:val="Compact"/>
              <w:jc w:val="left"/>
            </w:pPr>
            <w:r>
              <w:t xml:space="preserve">TRN</w:t>
            </w:r>
          </w:p>
        </w:tc>
        <w:tc>
          <w:tcPr/>
          <w:p>
            <w:pPr>
              <w:pStyle w:val="Compact"/>
              <w:jc w:val="left"/>
            </w:pPr>
            <w:r>
              <w:t xml:space="preserve">100456789000003</w:t>
            </w:r>
          </w:p>
        </w:tc>
      </w:tr>
      <w:tr>
        <w:tc>
          <w:tcPr/>
          <w:p>
            <w:pPr>
              <w:pStyle w:val="Compact"/>
              <w:jc w:val="left"/>
            </w:pPr>
            <w:r>
              <w:t xml:space="preserve">Prepared For</w:t>
            </w:r>
          </w:p>
        </w:tc>
        <w:tc>
          <w:tcPr>
            <w:gridSpan w:val="3"/>
          </w:tcPr>
          <w:p>
            <w:pPr>
              <w:pStyle w:val="Compact"/>
              <w:jc w:val="left"/>
            </w:pPr>
            <w:r>
              <w:t xml:space="preserve">Al Nahyan Corporate Health Services LLC, PO Box 4521, Abu Dhabi, United Arab Emirates</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Dr. Khalid Al Mansoori, a licensed</w:t>
      </w:r>
      <w:r>
        <w:t xml:space="preserve"> </w:t>
      </w:r>
      <w:r>
        <w:t xml:space="preserve">Doctor General Practitioner</w:t>
      </w:r>
      <w:r>
        <w:t xml:space="preserve"> </w:t>
      </w:r>
      <w:r>
        <w:t xml:space="preserve">operating in</w:t>
      </w:r>
      <w:r>
        <w:t xml:space="preserve"> </w:t>
      </w:r>
      <w:r>
        <w:t xml:space="preserve">United Arab Emirates Abu Dhabi</w:t>
      </w:r>
      <w:r>
        <w:t xml:space="preserve">, to provide Al Nahyan Corporate Health Services LLC with a comprehensive and itemised financial estimate for the provision of general medical practitioner services. This document outlines the scope of work, associated costs, and applicable terms governing the engagement of the Doctor General Practitioner for a period of twelve (12) months commencing from the date of acceptance.</w:t>
      </w:r>
    </w:p>
    <w:bookmarkEnd w:id="21"/>
    <w:bookmarkStart w:id="22" w:name="Xb941ec033c1afb0dbd940086c72cd4891a4c725"/>
    <w:p>
      <w:pPr>
        <w:pStyle w:val="Heading2"/>
      </w:pPr>
      <w:r>
        <w:t xml:space="preserve">2. Scope of Services — Doctor General Practitioner</w:t>
      </w:r>
    </w:p>
    <w:p>
      <w:pPr>
        <w:pStyle w:val="FirstParagraph"/>
      </w:pPr>
      <w:r>
        <w:t xml:space="preserve">The Doctor General Practitioner shall deliver the following clinical and administrative services within the United Arab Emirates Abu Dhabi jurisdiction, in full compliance with the Department of Health (DHA) Abu Dhabi regulations and the UAE Federal Medical Authority standards: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Unit (AED)</w:t>
            </w:r>
          </w:p>
        </w:tc>
        <w:tc>
          <w:tcPr/>
          <w:p>
            <w:pPr>
              <w:pStyle w:val="Compact"/>
              <w:jc w:val="left"/>
            </w:pPr>
            <w:r>
              <w:t xml:space="preserve">Total (AED)</w:t>
            </w:r>
          </w:p>
        </w:tc>
      </w:tr>
      <w:tr>
        <w:tc>
          <w:tcPr/>
          <w:p>
            <w:pPr>
              <w:pStyle w:val="Compact"/>
              <w:jc w:val="left"/>
            </w:pPr>
            <w:r>
              <w:t xml:space="preserve">1</w:t>
            </w:r>
          </w:p>
        </w:tc>
        <w:tc>
          <w:tcPr/>
          <w:p>
            <w:pPr>
              <w:pStyle w:val="Compact"/>
              <w:jc w:val="left"/>
            </w:pPr>
            <w:r>
              <w:t xml:space="preserve">General medical consultations and patient assessments (Doctor General Practitioner)</w:t>
            </w:r>
          </w:p>
        </w:tc>
        <w:tc>
          <w:tcPr/>
          <w:p>
            <w:pPr>
              <w:pStyle w:val="Compact"/>
              <w:jc w:val="left"/>
            </w:pPr>
            <w:r>
              <w:t xml:space="preserve">Monthly (40 hrs)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2</w:t>
            </w:r>
          </w:p>
        </w:tc>
        <w:tc>
          <w:tcPr/>
          <w:p>
            <w:pPr>
              <w:pStyle w:val="Compact"/>
              <w:jc w:val="left"/>
            </w:pPr>
            <w:r>
              <w:t xml:space="preserve">Preventive health screenings and annual physical examinations</w:t>
            </w:r>
          </w:p>
        </w:tc>
        <w:tc>
          <w:tcPr/>
          <w:p>
            <w:pPr>
              <w:pStyle w:val="Compact"/>
              <w:jc w:val="left"/>
            </w:pPr>
            <w:r>
              <w:t xml:space="preserve">Monthly (16 hrs)</w:t>
            </w:r>
          </w:p>
        </w:tc>
        <w:tc>
          <w:tcPr/>
          <w:p>
            <w:pPr>
              <w:pStyle w:val="Compact"/>
              <w:jc w:val="left"/>
            </w:pPr>
            <w:r>
              <w:t xml:space="preserve">14,200.00</w:t>
            </w:r>
          </w:p>
        </w:tc>
        <w:tc>
          <w:tcPr/>
          <w:p>
            <w:pPr>
              <w:pStyle w:val="Compact"/>
              <w:jc w:val="left"/>
            </w:pPr>
            <w:r>
              <w:t xml:space="preserve">170,400.00</w:t>
            </w:r>
          </w:p>
        </w:tc>
      </w:tr>
      <w:tr>
        <w:tc>
          <w:tcPr/>
          <w:p>
            <w:pPr>
              <w:pStyle w:val="Compact"/>
              <w:jc w:val="left"/>
            </w:pPr>
            <w:r>
              <w:t xml:space="preserve">3</w:t>
            </w:r>
          </w:p>
        </w:tc>
        <w:tc>
          <w:tcPr/>
          <w:p>
            <w:pPr>
              <w:pStyle w:val="Compact"/>
              <w:jc w:val="left"/>
            </w:pPr>
            <w:r>
              <w:t xml:space="preserve">Chronic disease management (diabetes, hypertension, asthma)</w:t>
            </w:r>
          </w:p>
        </w:tc>
        <w:tc>
          <w:tcPr/>
          <w:p>
            <w:pPr>
              <w:pStyle w:val="Compact"/>
              <w:jc w:val="left"/>
            </w:pPr>
            <w:r>
              <w:t xml:space="preserve">Monthly (12 hrs)</w:t>
            </w:r>
          </w:p>
        </w:tc>
        <w:tc>
          <w:tcPr/>
          <w:p>
            <w:pPr>
              <w:pStyle w:val="Compact"/>
              <w:jc w:val="left"/>
            </w:pPr>
            <w:r>
              <w:t xml:space="preserve">12,800.00</w:t>
            </w:r>
          </w:p>
        </w:tc>
        <w:tc>
          <w:tcPr/>
          <w:p>
            <w:pPr>
              <w:pStyle w:val="Compact"/>
              <w:jc w:val="left"/>
            </w:pPr>
            <w:r>
              <w:t xml:space="preserve">153,600.00</w:t>
            </w:r>
          </w:p>
        </w:tc>
      </w:tr>
      <w:tr>
        <w:tc>
          <w:tcPr/>
          <w:p>
            <w:pPr>
              <w:pStyle w:val="Compact"/>
              <w:jc w:val="left"/>
            </w:pPr>
            <w:r>
              <w:t xml:space="preserve">4</w:t>
            </w:r>
          </w:p>
        </w:tc>
        <w:tc>
          <w:tcPr/>
          <w:p>
            <w:pPr>
              <w:pStyle w:val="Compact"/>
              <w:jc w:val="left"/>
            </w:pPr>
            <w:r>
              <w:t xml:space="preserve">Medical fitness certificates and occupational health reports (UAE AD)</w:t>
            </w:r>
          </w:p>
        </w:tc>
        <w:tc>
          <w:tcPr/>
          <w:p>
            <w:pPr>
              <w:pStyle w:val="Compact"/>
              <w:jc w:val="left"/>
            </w:pPr>
            <w:r>
              <w:t xml:space="preserve">Monthly (8 hrs)</w:t>
            </w:r>
          </w:p>
        </w:tc>
        <w:tc>
          <w:tcPr/>
          <w:p>
            <w:pPr>
              <w:pStyle w:val="Compact"/>
              <w:jc w:val="left"/>
            </w:pPr>
            <w:r>
              <w:t xml:space="preserve">11,500.00</w:t>
            </w:r>
          </w:p>
        </w:tc>
        <w:tc>
          <w:tcPr/>
          <w:p>
            <w:pPr>
              <w:pStyle w:val="Compact"/>
              <w:jc w:val="left"/>
            </w:pPr>
            <w:r>
              <w:t xml:space="preserve">138,000.00</w:t>
            </w:r>
          </w:p>
        </w:tc>
      </w:tr>
      <w:tr>
        <w:tc>
          <w:tcPr/>
          <w:p>
            <w:pPr>
              <w:pStyle w:val="Compact"/>
              <w:jc w:val="left"/>
            </w:pPr>
            <w:r>
              <w:t xml:space="preserve">5</w:t>
            </w:r>
          </w:p>
        </w:tc>
        <w:tc>
          <w:tcPr/>
          <w:p>
            <w:pPr>
              <w:pStyle w:val="Compact"/>
              <w:jc w:val="left"/>
            </w:pPr>
            <w:r>
              <w:t xml:space="preserve">Telemedicine consultations via DHA-approved platform</w:t>
            </w:r>
          </w:p>
        </w:tc>
        <w:tc>
          <w:tcPr/>
          <w:p>
            <w:pPr>
              <w:pStyle w:val="Compact"/>
              <w:jc w:val="left"/>
            </w:pPr>
            <w:r>
              <w:t xml:space="preserve">Monthly (10 hrs)</w:t>
            </w:r>
          </w:p>
        </w:tc>
        <w:tc>
          <w:tcPr/>
          <w:p>
            <w:pPr>
              <w:pStyle w:val="Compact"/>
              <w:jc w:val="left"/>
            </w:pPr>
            <w:r>
              <w:t xml:space="preserve">9,800.00</w:t>
            </w:r>
          </w:p>
        </w:tc>
        <w:tc>
          <w:tcPr/>
          <w:p>
            <w:pPr>
              <w:pStyle w:val="Compact"/>
              <w:jc w:val="left"/>
            </w:pPr>
            <w:r>
              <w:t xml:space="preserve">117,600.00</w:t>
            </w:r>
          </w:p>
        </w:tc>
      </w:tr>
      <w:tr>
        <w:tc>
          <w:tcPr/>
          <w:p>
            <w:pPr>
              <w:pStyle w:val="Compact"/>
              <w:jc w:val="left"/>
            </w:pPr>
            <w:r>
              <w:t xml:space="preserve">6</w:t>
            </w:r>
          </w:p>
        </w:tc>
        <w:tc>
          <w:tcPr/>
          <w:p>
            <w:pPr>
              <w:pStyle w:val="Compact"/>
              <w:jc w:val="left"/>
            </w:pPr>
            <w:r>
              <w:t xml:space="preserve">Medical record management and referral coordination</w:t>
            </w:r>
          </w:p>
        </w:tc>
        <w:tc>
          <w:tcPr/>
          <w:p>
            <w:pPr>
              <w:pStyle w:val="Compact"/>
              <w:jc w:val="left"/>
            </w:pPr>
            <w:r>
              <w:t xml:space="preserve">Monthly (6 hrs)</w:t>
            </w:r>
          </w:p>
        </w:tc>
        <w:tc>
          <w:tcPr/>
          <w:p>
            <w:pPr>
              <w:pStyle w:val="Compact"/>
              <w:jc w:val="left"/>
            </w:pPr>
            <w:r>
              <w:t xml:space="preserve">7,200.00</w:t>
            </w:r>
          </w:p>
        </w:tc>
        <w:tc>
          <w:tcPr/>
          <w:p>
            <w:pPr>
              <w:pStyle w:val="Compact"/>
              <w:jc w:val="left"/>
            </w:pPr>
            <w:r>
              <w:t xml:space="preserve">86,400.00</w:t>
            </w:r>
          </w:p>
        </w:tc>
      </w:tr>
      <w:tr>
        <w:tc>
          <w:tcPr/>
          <w:p>
            <w:pPr>
              <w:pStyle w:val="Compact"/>
              <w:jc w:val="left"/>
            </w:pPr>
            <w:r>
              <w:t xml:space="preserve">7</w:t>
            </w:r>
          </w:p>
        </w:tc>
        <w:tc>
          <w:tcPr/>
          <w:p>
            <w:pPr>
              <w:pStyle w:val="Compact"/>
              <w:jc w:val="left"/>
            </w:pPr>
            <w:r>
              <w:t xml:space="preserve">On-call emergency coverage (Abu Dhabi metropolitan area)</w:t>
            </w:r>
          </w:p>
        </w:tc>
        <w:tc>
          <w:tcPr/>
          <w:p>
            <w:pPr>
              <w:pStyle w:val="Compact"/>
              <w:jc w:val="left"/>
            </w:pPr>
            <w:r>
              <w:t xml:space="preserve">Monthly (24 hrs)</w:t>
            </w:r>
          </w:p>
        </w:tc>
        <w:tc>
          <w:tcPr/>
          <w:p>
            <w:pPr>
              <w:pStyle w:val="Compact"/>
              <w:jc w:val="left"/>
            </w:pPr>
            <w:r>
              <w:t xml:space="preserve">6,500.00</w:t>
            </w:r>
          </w:p>
        </w:tc>
        <w:tc>
          <w:tcPr/>
          <w:p>
            <w:pPr>
              <w:pStyle w:val="Compact"/>
              <w:jc w:val="left"/>
            </w:pPr>
            <w:r>
              <w:t xml:space="preserve">78,000.00</w:t>
            </w:r>
          </w:p>
        </w:tc>
      </w:tr>
      <w:tr>
        <w:tc>
          <w:tcPr/>
          <w:p>
            <w:pPr>
              <w:pStyle w:val="Compact"/>
              <w:jc w:val="left"/>
            </w:pPr>
            <w:r>
              <w:t xml:space="preserve">8</w:t>
            </w:r>
          </w:p>
        </w:tc>
        <w:tc>
          <w:tcPr/>
          <w:p>
            <w:pPr>
              <w:pStyle w:val="Compact"/>
              <w:jc w:val="left"/>
            </w:pPr>
            <w:r>
              <w:t xml:space="preserve">Health education workshops for corporate employees</w:t>
            </w:r>
          </w:p>
        </w:tc>
        <w:tc>
          <w:tcPr/>
          <w:p>
            <w:pPr>
              <w:pStyle w:val="Compact"/>
              <w:jc w:val="left"/>
            </w:pPr>
            <w:r>
              <w:t xml:space="preserve">Quarterly (4 sessions)</w:t>
            </w:r>
          </w:p>
        </w:tc>
        <w:tc>
          <w:tcPr/>
          <w:p>
            <w:pPr>
              <w:pStyle w:val="Compact"/>
              <w:jc w:val="left"/>
            </w:pPr>
            <w:r>
              <w:t xml:space="preserve">8,500.00</w:t>
            </w:r>
          </w:p>
        </w:tc>
        <w:tc>
          <w:tcPr/>
          <w:p>
            <w:pPr>
              <w:pStyle w:val="Compact"/>
              <w:jc w:val="left"/>
            </w:pPr>
            <w:r>
              <w:t xml:space="preserve">34,000.00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(AED)</w:t>
            </w:r>
          </w:p>
        </w:tc>
        <w:tc>
          <w:tcPr/>
          <w:p>
            <w:pPr>
              <w:pStyle w:val="Compact"/>
              <w:jc w:val="left"/>
            </w:pPr>
            <w:r>
              <w:t xml:space="preserve">1,000,000.00</w:t>
            </w:r>
          </w:p>
        </w:tc>
      </w:tr>
      <w:tr>
        <w:tc>
          <w:tcPr/>
          <w:p>
            <w:pPr>
              <w:pStyle w:val="Compact"/>
              <w:jc w:val="left"/>
            </w:pPr>
            <w:r>
              <w:t xml:space="preserve">VAT @ 5% (UAE)</w:t>
            </w:r>
          </w:p>
        </w:tc>
        <w:tc>
          <w:tcPr/>
          <w:p>
            <w:pPr>
              <w:pStyle w:val="Compact"/>
              <w:jc w:val="left"/>
            </w:pPr>
            <w:r>
              <w:t xml:space="preserve">50,000.00</w:t>
            </w:r>
          </w:p>
        </w:tc>
      </w:tr>
      <w:tr>
        <w:tc>
          <w:tcPr/>
          <w:p>
            <w:pPr>
              <w:pStyle w:val="Compact"/>
              <w:jc w:val="left"/>
            </w:pPr>
            <w:r>
              <w:t xml:space="preserve">Grand Total (AED)</w:t>
            </w:r>
          </w:p>
        </w:tc>
        <w:tc>
          <w:tcPr/>
          <w:p>
            <w:pPr>
              <w:pStyle w:val="Compact"/>
              <w:jc w:val="left"/>
            </w:pPr>
            <w:r>
              <w:t xml:space="preserve">1,050,000.00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 Quotation Estimate is valid for thirty (30) calendar days from the date of issue. Beyond this period, the Doctor General Practitioner reserves the right to revise pricing due to changes in operational costs within United Arab Emirates Abu Dhabi.</w:t>
      </w:r>
    </w:p>
    <w:p>
      <w:pPr>
        <w:numPr>
          <w:ilvl w:val="0"/>
          <w:numId w:val="1001"/>
        </w:numPr>
        <w:pStyle w:val="Compact"/>
      </w:pPr>
      <w:r>
        <w:t xml:space="preserve">All fees quoted are in United Arab Emirates Dirhams (AED) and are inclusive of the Doctor General Practitioner's professional time, clinical expertise, and standard medical consumables. Specialised diagnostic imaging or laboratory tests ordered at the patient's discretion shall be billed separately at prevailing DHA Abu Dhabi fee schedules.</w:t>
      </w:r>
    </w:p>
    <w:p>
      <w:pPr>
        <w:numPr>
          <w:ilvl w:val="0"/>
          <w:numId w:val="1001"/>
        </w:numPr>
        <w:pStyle w:val="Compact"/>
      </w:pPr>
      <w:r>
        <w:t xml:space="preserve">Payment terms: 50% advance payment upon acceptance of this Quotation Estimate, with the remaining 50% payable in equal monthly instalments over the twelve-month service period. Late payments shall attract a penalty of 2% per month as per UAE commercial law.</w:t>
      </w:r>
    </w:p>
    <w:p>
      <w:pPr>
        <w:numPr>
          <w:ilvl w:val="0"/>
          <w:numId w:val="1001"/>
        </w:numPr>
        <w:pStyle w:val="Compact"/>
      </w:pPr>
      <w:r>
        <w:t xml:space="preserve">The Doctor General Practitioner shall maintain full professional indemnity insurance with a minimum coverage of AED 5,000,000, as mandated by the Department of Health Abu Dhabi. A certificate of insurance shall be provided upon request.</w:t>
      </w:r>
    </w:p>
    <w:p>
      <w:pPr>
        <w:numPr>
          <w:ilvl w:val="0"/>
          <w:numId w:val="1001"/>
        </w:numPr>
        <w:pStyle w:val="Compact"/>
      </w:pPr>
      <w:r>
        <w:t xml:space="preserve">All patient data and medical records shall be handled in strict accordance with the UAE Federal Decree-Law No. 45 of 2021 on the Protection of Personal Data. No patient information shall be shared with third parties without explicit written consent.</w:t>
      </w:r>
    </w:p>
    <w:p>
      <w:pPr>
        <w:numPr>
          <w:ilvl w:val="0"/>
          <w:numId w:val="1001"/>
        </w:numPr>
        <w:pStyle w:val="Compact"/>
      </w:pPr>
      <w:r>
        <w:t xml:space="preserve">This Quotation Estimate does not constitute a binding contract until countersigned by both parties. The final service agreement shall be governed by the laws of the United Arab Emirates and the specific regulations of Abu Dhabi's healthcare authority.</w:t>
      </w:r>
    </w:p>
    <w:p>
      <w:pPr>
        <w:numPr>
          <w:ilvl w:val="0"/>
          <w:numId w:val="1001"/>
        </w:numPr>
        <w:pStyle w:val="Compact"/>
      </w:pPr>
      <w:r>
        <w:t xml:space="preserve">The Doctor General Practitioner shall comply with all DHA Abu Dhabi clinical practice guidelines, infection control protocols, and mandatory continuing medical education (CME) requirements throughout the engagement period.</w:t>
      </w:r>
    </w:p>
    <w:p>
      <w:pPr>
        <w:numPr>
          <w:ilvl w:val="0"/>
          <w:numId w:val="1001"/>
        </w:numPr>
        <w:pStyle w:val="Compact"/>
      </w:pPr>
      <w:r>
        <w:t xml:space="preserve">Either party may terminate the engagement with thirty (30) days' written notice. In the event of early termination, a pro-rata adjustment shall be applied to the remaining service fees.</w:t>
      </w:r>
    </w:p>
    <w:p>
      <w:pPr>
        <w:numPr>
          <w:ilvl w:val="0"/>
          <w:numId w:val="1001"/>
        </w:numPr>
        <w:pStyle w:val="Compact"/>
      </w:pPr>
      <w:r>
        <w:t xml:space="preserve">This Quotation Estimate is prepared exclusively for the named recipient and shall not be transferred, assigned, or used for any other purpose without prior written consent from the Doctor General Practitioner.</w:t>
      </w:r>
    </w:p>
    <w:bookmarkEnd w:id="23"/>
    <w:bookmarkStart w:id="24" w:name="acceptance-and-authorisation"/>
    <w:p>
      <w:pPr>
        <w:pStyle w:val="Heading2"/>
      </w:pPr>
      <w:r>
        <w:t xml:space="preserve">4. Acceptance and Authorisation</w:t>
      </w:r>
    </w:p>
    <w:p>
      <w:pPr>
        <w:pStyle w:val="FirstParagraph"/>
      </w:pPr>
      <w:r>
        <w:t xml:space="preserve">By signing below, both parties acknowledge that this Quotation Estimate for Doctor General Practitioner services in United Arab Emirates Abu Dhabi has been reviewed, understood, and accepted in its entirety. This signature constitutes formal acceptance of the estimated costs, scope of services, and all terms and conditions outlined herein.</w:t>
      </w:r>
    </w:p>
    <w:p>
      <w:pPr>
        <w:pStyle w:val="BodyText"/>
      </w:pPr>
      <w:r>
        <w:rPr>
          <w:bCs/>
          <w:b/>
        </w:rPr>
        <w:t xml:space="preserve">For: Dr. Khalid Al Mansoori</w:t>
      </w:r>
      <w:r>
        <w:br/>
      </w:r>
      <w:r>
        <w:t xml:space="preserve">Doctor General Practitioner</w:t>
      </w:r>
      <w:r>
        <w:br/>
      </w:r>
      <w:r>
        <w:t xml:space="preserve">Al Reem Island, Abu Dhabi, UAE</w:t>
      </w:r>
      <w:r>
        <w:br/>
      </w:r>
      <w:r>
        <w:t xml:space="preserve">Date: _______________</w:t>
      </w:r>
    </w:p>
    <w:p>
      <w:pPr>
        <w:pStyle w:val="BodyText"/>
      </w:pPr>
      <w:r>
        <w:rPr>
          <w:bCs/>
          <w:b/>
        </w:rPr>
        <w:t xml:space="preserve">For: Al Nahyan Corporate Health Services LLC</w:t>
      </w:r>
      <w:r>
        <w:br/>
      </w:r>
      <w:r>
        <w:t xml:space="preserve">Authorised Representative</w:t>
      </w:r>
      <w:r>
        <w:br/>
      </w:r>
      <w:r>
        <w:t xml:space="preserve">Abu Dhabi, United Arab Emirates</w:t>
      </w:r>
      <w:r>
        <w:br/>
      </w:r>
      <w:r>
        <w:t xml:space="preserve">Date: _______________</w:t>
      </w:r>
    </w:p>
    <w:p>
      <w:pPr>
        <w:pStyle w:val="BodyText"/>
      </w:pPr>
      <w:r>
        <w:t xml:space="preserve">Quotation Estimate QE-DGP-AD-2025-0472 | Doctor General Practitioner Services | United Arab Emirates Abu Dhabi</w:t>
      </w:r>
    </w:p>
    <w:p>
      <w:pPr>
        <w:pStyle w:val="BodyText"/>
      </w:pPr>
      <w:r>
        <w:t xml:space="preserve">This document is electronically generated and does not require a physical stamp. For verification, contact the issuing practice at +971 2 555 0147.</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Doctor General Practitioner - United Arab Emirates Abu Dhabi</dc:title>
  <dc:creator/>
  <dc:language>en</dc:language>
  <cp:keywords/>
  <dcterms:created xsi:type="dcterms:W3CDTF">2026-10-10T09:18:02Z</dcterms:created>
  <dcterms:modified xsi:type="dcterms:W3CDTF">2026-10-10T09:18:02Z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