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t xml:space="preserve">Doctor General Practitioner Services — United Arab Emirates, Dubai</w:t>
      </w:r>
    </w:p>
    <w:p>
      <w:pPr>
        <w:pStyle w:val="BodyText"/>
      </w:pPr>
      <w:r>
        <w:t xml:space="preserve">Ref: QE-DXB-GP-2025-0417 | Valid Until: 30 June 2025</w:t>
      </w:r>
    </w:p>
    <w:bookmarkEnd w:id="20"/>
    <w:bookmarkStart w:id="21" w:name="issued-by"/>
    <w:p>
      <w:pPr>
        <w:pStyle w:val="Heading3"/>
      </w:pPr>
      <w:r>
        <w:t xml:space="preserve">Issued By</w:t>
      </w:r>
    </w:p>
    <w:p>
      <w:pPr>
        <w:pStyle w:val="FirstParagraph"/>
      </w:pPr>
      <w:r>
        <w:rPr>
          <w:bCs/>
          <w:b/>
        </w:rPr>
        <w:t xml:space="preserve">Al Noor General Practitioner Clinic</w:t>
      </w:r>
    </w:p>
    <w:p>
      <w:pPr>
        <w:pStyle w:val="BodyText"/>
      </w:pPr>
      <w:r>
        <w:t xml:space="preserve">Building 12, Sheikh Zayed Road, Downtown Dubai</w:t>
      </w:r>
    </w:p>
    <w:p>
      <w:pPr>
        <w:pStyle w:val="BodyText"/>
      </w:pPr>
      <w:r>
        <w:t xml:space="preserve">United Arab Emirates, Dubai, P.O. Box 45218</w:t>
      </w:r>
    </w:p>
    <w:p>
      <w:pPr>
        <w:pStyle w:val="BodyText"/>
      </w:pPr>
      <w:r>
        <w:t xml:space="preserve">Tel: +971 4 555 0192 | Email: quotes@alnoorgp.ae</w:t>
      </w:r>
    </w:p>
    <w:p>
      <w:pPr>
        <w:pStyle w:val="BodyText"/>
      </w:pPr>
      <w:r>
        <w:t xml:space="preserve">DHA License No: DHA-GP-2024-88341</w:t>
      </w:r>
    </w:p>
    <w:bookmarkEnd w:id="21"/>
    <w:bookmarkStart w:id="22" w:name="prepared-for"/>
    <w:p>
      <w:pPr>
        <w:pStyle w:val="Heading3"/>
      </w:pPr>
      <w:r>
        <w:t xml:space="preserve">Prepared For</w:t>
      </w:r>
    </w:p>
    <w:p>
      <w:pPr>
        <w:pStyle w:val="FirstParagraph"/>
      </w:pPr>
      <w:r>
        <w:rPr>
          <w:bCs/>
          <w:b/>
        </w:rPr>
        <w:t xml:space="preserve">Client / Corporate Account</w:t>
      </w:r>
    </w:p>
    <w:p>
      <w:pPr>
        <w:pStyle w:val="BodyText"/>
      </w:pPr>
      <w:r>
        <w:t xml:space="preserve">Name: [Client Full Name / Company Name]</w:t>
      </w:r>
    </w:p>
    <w:p>
      <w:pPr>
        <w:pStyle w:val="BodyText"/>
      </w:pPr>
      <w:r>
        <w:t xml:space="preserve">Address: [Client Address, Dubai, UAE]</w:t>
      </w:r>
    </w:p>
    <w:p>
      <w:pPr>
        <w:pStyle w:val="BodyText"/>
      </w:pPr>
      <w:r>
        <w:t xml:space="preserve">Contact: [Phone Number] | [Email Address]</w:t>
      </w:r>
    </w:p>
    <w:p>
      <w:pPr>
        <w:pStyle w:val="BodyText"/>
      </w:pPr>
      <w:r>
        <w:t xml:space="preserve">TRN (if applicable): [Tax Registration Number]</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Al Noor General Practitioner Clinic, a fully licensed medical facility operating in</w:t>
      </w:r>
      <w:r>
        <w:t xml:space="preserve"> </w:t>
      </w:r>
      <w:r>
        <w:t xml:space="preserve">United Arab Emirates, Dubai</w:t>
      </w:r>
      <w:r>
        <w:t xml:space="preserve">, to provide a comprehensive and transparent breakdown of professional fees for the engagement of a</w:t>
      </w:r>
      <w:r>
        <w:t xml:space="preserve"> </w:t>
      </w:r>
      <w:r>
        <w:t xml:space="preserve">Doctor General Practitioner</w:t>
      </w:r>
      <w:r>
        <w:t xml:space="preserve"> </w:t>
      </w:r>
      <w:r>
        <w:t xml:space="preserve">for the services described herein. This document serves as a binding financial proposal and does not constitute a final invoice until accepted in writing by the client. All pricing is quoted in United Arab Emirates Dirhams (AED) and is subject to the terms and conditions outlined in Section 6 of this</w:t>
      </w:r>
      <w:r>
        <w:t xml:space="preserve"> </w:t>
      </w:r>
      <w:r>
        <w:t xml:space="preserve">Quotation Estimate</w:t>
      </w:r>
      <w:r>
        <w:t xml:space="preserve">.</w:t>
      </w:r>
    </w:p>
    <w:bookmarkEnd w:id="23"/>
    <w:bookmarkStart w:id="24" w:name="Xca81e6e67a34f5b3bd0f779b4144be196f02e95"/>
    <w:p>
      <w:pPr>
        <w:pStyle w:val="Heading2"/>
      </w:pPr>
      <w:r>
        <w:t xml:space="preserve">2. Scope of Doctor General Practitioner Services</w:t>
      </w:r>
    </w:p>
    <w:p>
      <w:pPr>
        <w:pStyle w:val="FirstParagraph"/>
      </w:pPr>
      <w:r>
        <w:t xml:space="preserve">The following</w:t>
      </w:r>
      <w:r>
        <w:t xml:space="preserve"> </w:t>
      </w:r>
      <w:r>
        <w:t xml:space="preserve">Doctor General Practitioner</w:t>
      </w:r>
      <w:r>
        <w:t xml:space="preserve"> </w:t>
      </w:r>
      <w:r>
        <w:t xml:space="preserve">services are included in this</w:t>
      </w:r>
      <w:r>
        <w:t xml:space="preserve"> </w:t>
      </w:r>
      <w:r>
        <w:t xml:space="preserve">Quotation Estimate</w:t>
      </w:r>
      <w:r>
        <w:t xml:space="preserve"> </w:t>
      </w:r>
      <w:r>
        <w:t xml:space="preserve">for delivery at our clinic premises in Dubai, United Arab Emirates, or at the client's designated location within the Dubai metropolitan area:</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 / Qty</w:t>
            </w:r>
          </w:p>
        </w:tc>
        <w:tc>
          <w:tcPr/>
          <w:p>
            <w:pPr>
              <w:pStyle w:val="Compact"/>
              <w:jc w:val="left"/>
            </w:pPr>
            <w:r>
              <w:t xml:space="preserve">Unit Rate (AED)</w:t>
            </w:r>
          </w:p>
        </w:tc>
        <w:tc>
          <w:tcPr/>
          <w:p>
            <w:pPr>
              <w:pStyle w:val="Compact"/>
              <w:jc w:val="left"/>
            </w:pPr>
            <w:r>
              <w:t xml:space="preserve">Subtotal (AED)</w:t>
            </w:r>
          </w:p>
        </w:tc>
      </w:tr>
      <w:tr>
        <w:tc>
          <w:tcPr/>
          <w:p>
            <w:pPr>
              <w:pStyle w:val="Compact"/>
              <w:jc w:val="left"/>
            </w:pPr>
            <w:r>
              <w:t xml:space="preserve">1</w:t>
            </w:r>
          </w:p>
        </w:tc>
        <w:tc>
          <w:tcPr/>
          <w:p>
            <w:pPr>
              <w:pStyle w:val="Compact"/>
              <w:jc w:val="left"/>
            </w:pPr>
            <w:r>
              <w:t xml:space="preserve">Initial comprehensive consultation with Doctor General Practitioner (history, physical examination, preliminary diagnosis)</w:t>
            </w:r>
          </w:p>
        </w:tc>
        <w:tc>
          <w:tcPr/>
          <w:p>
            <w:pPr>
              <w:pStyle w:val="Compact"/>
              <w:jc w:val="left"/>
            </w:pPr>
            <w:r>
              <w:t xml:space="preserve">1 session</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Follow-up consultation with Doctor General Practitioner (treatment review, medication adjustment, progress assessment)</w:t>
            </w:r>
          </w:p>
        </w:tc>
        <w:tc>
          <w:tcPr/>
          <w:p>
            <w:pPr>
              <w:pStyle w:val="Compact"/>
              <w:jc w:val="left"/>
            </w:pPr>
            <w:r>
              <w:t xml:space="preserve">4 sessions</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3</w:t>
            </w:r>
          </w:p>
        </w:tc>
        <w:tc>
          <w:tcPr/>
          <w:p>
            <w:pPr>
              <w:pStyle w:val="Compact"/>
              <w:jc w:val="left"/>
            </w:pPr>
            <w:r>
              <w:t xml:space="preserve">Full blood work and diagnostic panel (CBC, lipid profile, liver function, renal panel, thyroid function, HbA1c)</w:t>
            </w:r>
          </w:p>
        </w:tc>
        <w:tc>
          <w:tcPr/>
          <w:p>
            <w:pPr>
              <w:pStyle w:val="Compact"/>
              <w:jc w:val="left"/>
            </w:pPr>
            <w:r>
              <w:t xml:space="preserve">1 panel</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4</w:t>
            </w:r>
          </w:p>
        </w:tc>
        <w:tc>
          <w:tcPr/>
          <w:p>
            <w:pPr>
              <w:pStyle w:val="Compact"/>
              <w:jc w:val="left"/>
            </w:pPr>
            <w:r>
              <w:t xml:space="preserve">Electrocardiogram (ECG) and basic cardiac screening performed under Doctor General Practitioner supervision</w:t>
            </w:r>
          </w:p>
        </w:tc>
        <w:tc>
          <w:tcPr/>
          <w:p>
            <w:pPr>
              <w:pStyle w:val="Compact"/>
              <w:jc w:val="left"/>
            </w:pPr>
            <w:r>
              <w:t xml:space="preserve">1 session</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5</w:t>
            </w:r>
          </w:p>
        </w:tc>
        <w:tc>
          <w:tcPr/>
          <w:p>
            <w:pPr>
              <w:pStyle w:val="Compact"/>
              <w:jc w:val="left"/>
            </w:pPr>
            <w:r>
              <w:t xml:space="preserve">Preventive health check-up package (annual) including Doctor General Practitioner assessment, lifestyle counselling, and vaccination review</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Prescription and medication management by Doctor General Practitioner (including chronic disease management for up to 3 conditions)</w:t>
            </w:r>
          </w:p>
        </w:tc>
        <w:tc>
          <w:tcPr/>
          <w:p>
            <w:pPr>
              <w:pStyle w:val="Compact"/>
              <w:jc w:val="left"/>
            </w:pPr>
            <w:r>
              <w:t xml:space="preserve">Monthly (3 months)</w:t>
            </w:r>
          </w:p>
        </w:tc>
        <w:tc>
          <w:tcPr/>
          <w:p>
            <w:pPr>
              <w:pStyle w:val="Compact"/>
              <w:jc w:val="left"/>
            </w:pPr>
            <w:r>
              <w:t xml:space="preserve">250.00</w:t>
            </w:r>
          </w:p>
        </w:tc>
        <w:tc>
          <w:tcPr/>
          <w:p>
            <w:pPr>
              <w:pStyle w:val="Compact"/>
              <w:jc w:val="left"/>
            </w:pPr>
            <w:r>
              <w:t xml:space="preserve">750.00</w:t>
            </w:r>
          </w:p>
        </w:tc>
      </w:tr>
      <w:tr>
        <w:tc>
          <w:tcPr/>
          <w:p>
            <w:pPr>
              <w:pStyle w:val="Compact"/>
              <w:jc w:val="left"/>
            </w:pPr>
            <w:r>
              <w:t xml:space="preserve">7</w:t>
            </w:r>
          </w:p>
        </w:tc>
        <w:tc>
          <w:tcPr/>
          <w:p>
            <w:pPr>
              <w:pStyle w:val="Compact"/>
              <w:jc w:val="left"/>
            </w:pPr>
            <w:r>
              <w:t xml:space="preserve">Home visit by Doctor General Practitioner within Dubai city limits (for patients unable to travel to clinic)</w:t>
            </w:r>
          </w:p>
        </w:tc>
        <w:tc>
          <w:tcPr/>
          <w:p>
            <w:pPr>
              <w:pStyle w:val="Compact"/>
              <w:jc w:val="left"/>
            </w:pPr>
            <w:r>
              <w:t xml:space="preserve">2 visits</w:t>
            </w:r>
          </w:p>
        </w:tc>
        <w:tc>
          <w:tcPr/>
          <w:p>
            <w:pPr>
              <w:pStyle w:val="Compact"/>
              <w:jc w:val="left"/>
            </w:pPr>
            <w:r>
              <w:t xml:space="preserve">600.00</w:t>
            </w:r>
          </w:p>
        </w:tc>
        <w:tc>
          <w:tcPr/>
          <w:p>
            <w:pPr>
              <w:pStyle w:val="Compact"/>
              <w:jc w:val="left"/>
            </w:pPr>
            <w:r>
              <w:t xml:space="preserve">1,200.00</w:t>
            </w:r>
          </w:p>
        </w:tc>
      </w:tr>
      <w:tr>
        <w:tc>
          <w:tcPr/>
          <w:p>
            <w:pPr>
              <w:pStyle w:val="Compact"/>
              <w:jc w:val="left"/>
            </w:pPr>
            <w:r>
              <w:t xml:space="preserve">8</w:t>
            </w:r>
          </w:p>
        </w:tc>
        <w:tc>
          <w:tcPr/>
          <w:p>
            <w:pPr>
              <w:pStyle w:val="Compact"/>
              <w:jc w:val="left"/>
            </w:pPr>
            <w:r>
              <w:t xml:space="preserve">Medical fitness certificate and DHA-compliant documentation for United Arab Emirates residency or employment purposes</w:t>
            </w:r>
          </w:p>
        </w:tc>
        <w:tc>
          <w:tcPr/>
          <w:p>
            <w:pPr>
              <w:pStyle w:val="Compact"/>
              <w:jc w:val="left"/>
            </w:pPr>
            <w:r>
              <w:t xml:space="preserve">1 certificate</w:t>
            </w:r>
          </w:p>
        </w:tc>
        <w:tc>
          <w:tcPr/>
          <w:p>
            <w:pPr>
              <w:pStyle w:val="Compact"/>
              <w:jc w:val="left"/>
            </w:pPr>
            <w:r>
              <w:t xml:space="preserve">400.00</w:t>
            </w:r>
          </w:p>
        </w:tc>
        <w:tc>
          <w:tcPr/>
          <w:p>
            <w:pPr>
              <w:pStyle w:val="Compact"/>
              <w:jc w:val="left"/>
            </w:pPr>
            <w:r>
              <w:t xml:space="preserve">400.00</w:t>
            </w:r>
          </w:p>
        </w:tc>
      </w:tr>
      <w:tr>
        <w:tc>
          <w:tcPr/>
          <w:p>
            <w:pPr>
              <w:pStyle w:val="Compact"/>
              <w:jc w:val="left"/>
            </w:pPr>
            <w:r>
              <w:t xml:space="preserve">9</w:t>
            </w:r>
          </w:p>
        </w:tc>
        <w:tc>
          <w:tcPr/>
          <w:p>
            <w:pPr>
              <w:pStyle w:val="Compact"/>
              <w:jc w:val="left"/>
            </w:pPr>
            <w:r>
              <w:t xml:space="preserve">Telemedicine consultation with Doctor General Practitioner (video call, 30 minutes, for follow-up or minor concerns)</w:t>
            </w:r>
          </w:p>
        </w:tc>
        <w:tc>
          <w:tcPr/>
          <w:p>
            <w:pPr>
              <w:pStyle w:val="Compact"/>
              <w:jc w:val="left"/>
            </w:pPr>
            <w:r>
              <w:t xml:space="preserve">3 sessions</w:t>
            </w:r>
          </w:p>
        </w:tc>
        <w:tc>
          <w:tcPr/>
          <w:p>
            <w:pPr>
              <w:pStyle w:val="Compact"/>
              <w:jc w:val="left"/>
            </w:pPr>
            <w:r>
              <w:t xml:space="preserve">200.00</w:t>
            </w:r>
          </w:p>
        </w:tc>
        <w:tc>
          <w:tcPr/>
          <w:p>
            <w:pPr>
              <w:pStyle w:val="Compact"/>
              <w:jc w:val="left"/>
            </w:pPr>
            <w:r>
              <w:t xml:space="preserve">600.00</w:t>
            </w:r>
          </w:p>
        </w:tc>
      </w:tr>
      <w:tr>
        <w:tc>
          <w:tcPr/>
          <w:p>
            <w:pPr>
              <w:pStyle w:val="Compact"/>
              <w:jc w:val="left"/>
            </w:pPr>
            <w:r>
              <w:t xml:space="preserve">10</w:t>
            </w:r>
          </w:p>
        </w:tc>
        <w:tc>
          <w:tcPr/>
          <w:p>
            <w:pPr>
              <w:pStyle w:val="Compact"/>
              <w:jc w:val="left"/>
            </w:pPr>
            <w:r>
              <w:t xml:space="preserve">Urgent same-day Doctor General Practitioner appointment (priority slot, Dubai clinic)</w:t>
            </w:r>
          </w:p>
        </w:tc>
        <w:tc>
          <w:tcPr/>
          <w:p>
            <w:pPr>
              <w:pStyle w:val="Compact"/>
              <w:jc w:val="left"/>
            </w:pPr>
            <w:r>
              <w:t xml:space="preserve">1 slot</w:t>
            </w:r>
          </w:p>
        </w:tc>
        <w:tc>
          <w:tcPr/>
          <w:p>
            <w:pPr>
              <w:pStyle w:val="Compact"/>
              <w:jc w:val="left"/>
            </w:pPr>
            <w:r>
              <w:t xml:space="preserve">550.00</w:t>
            </w:r>
          </w:p>
        </w:tc>
        <w:tc>
          <w:tcPr/>
          <w:p>
            <w:pPr>
              <w:pStyle w:val="Compact"/>
              <w:jc w:val="left"/>
            </w:pPr>
            <w:r>
              <w:t xml:space="preserve">550.00</w:t>
            </w:r>
          </w:p>
        </w:tc>
      </w:tr>
      <w:tr>
        <w:tc>
          <w:tcPr>
            <w:gridSpan w:val="4"/>
          </w:tcPr>
          <w:p>
            <w:pPr>
              <w:pStyle w:val="Compact"/>
              <w:jc w:val="right"/>
            </w:pPr>
            <w:r>
              <w:t xml:space="preserve">Subtotal (AED)</w:t>
            </w:r>
          </w:p>
        </w:tc>
        <w:tc>
          <w:tcPr/>
          <w:p>
            <w:pPr>
              <w:pStyle w:val="Compact"/>
              <w:jc w:val="left"/>
            </w:pPr>
            <w:r>
              <w:t xml:space="preserve">7,700.00</w:t>
            </w:r>
          </w:p>
        </w:tc>
      </w:tr>
      <w:tr>
        <w:tc>
          <w:tcPr>
            <w:gridSpan w:val="4"/>
          </w:tcPr>
          <w:p>
            <w:pPr>
              <w:pStyle w:val="Compact"/>
              <w:jc w:val="right"/>
            </w:pPr>
            <w:r>
              <w:t xml:space="preserve">VAT @ 5% (United Arab Emirates)</w:t>
            </w:r>
          </w:p>
        </w:tc>
        <w:tc>
          <w:tcPr/>
          <w:p>
            <w:pPr>
              <w:pStyle w:val="Compact"/>
              <w:jc w:val="left"/>
            </w:pPr>
            <w:r>
              <w:t xml:space="preserve">385.00</w:t>
            </w:r>
          </w:p>
        </w:tc>
      </w:tr>
      <w:tr>
        <w:tc>
          <w:tcPr>
            <w:gridSpan w:val="4"/>
          </w:tcPr>
          <w:p>
            <w:pPr>
              <w:pStyle w:val="Compact"/>
              <w:jc w:val="right"/>
            </w:pPr>
            <w:r>
              <w:t xml:space="preserve">TOTAL AMOUNT DUE (AED)</w:t>
            </w:r>
          </w:p>
        </w:tc>
        <w:tc>
          <w:tcPr/>
          <w:p>
            <w:pPr>
              <w:pStyle w:val="Compact"/>
              <w:jc w:val="left"/>
            </w:pPr>
            <w:r>
              <w:t xml:space="preserve">8,085.00</w:t>
            </w:r>
          </w:p>
        </w:tc>
      </w:tr>
    </w:tbl>
    <w:bookmarkEnd w:id="24"/>
    <w:bookmarkStart w:id="25" w:name="X80eb0f6f6b4182739f7a81cb9035548bae2e645"/>
    <w:p>
      <w:pPr>
        <w:pStyle w:val="Heading2"/>
      </w:pPr>
      <w:r>
        <w:t xml:space="preserve">3. Doctor General Practitioner Qualifications and Credentials</w:t>
      </w:r>
    </w:p>
    <w:p>
      <w:pPr>
        <w:pStyle w:val="FirstParagraph"/>
      </w:pPr>
      <w:r>
        <w:t xml:space="preserve">The</w:t>
      </w:r>
      <w:r>
        <w:t xml:space="preserve"> </w:t>
      </w:r>
      <w:r>
        <w:t xml:space="preserve">Doctor General Practitioner</w:t>
      </w:r>
      <w:r>
        <w:t xml:space="preserve"> </w:t>
      </w:r>
      <w:r>
        <w:t xml:space="preserve">assigned to this engagement holds a Doctor of Medicine (MD) degree from an accredited medical university, has completed a minimum of five years of post-graduate general practice training, and is fully registered and licensed by the Dubai Health Authority (DHA) to practise in</w:t>
      </w:r>
      <w:r>
        <w:t xml:space="preserve"> </w:t>
      </w:r>
      <w:r>
        <w:t xml:space="preserve">United Arab Emirates, Dubai</w:t>
      </w:r>
      <w:r>
        <w:t xml:space="preserve">. The Doctor General Practitioner is proficient in both English and Arabic, ensuring seamless communication with all patients and corporate clients within the Dubai region. All clinical records and documentation will be maintained in compliance with UAE data protection regulations and DHA medical record-keeping standards.</w:t>
      </w:r>
    </w:p>
    <w:bookmarkEnd w:id="25"/>
    <w:bookmarkStart w:id="26" w:name="Xbf8cdb8a80005eb6429ccf814d71ceb6dfdaa32"/>
    <w:p>
      <w:pPr>
        <w:pStyle w:val="Heading2"/>
      </w:pPr>
      <w:r>
        <w:t xml:space="preserve">4. Validity and Acceptance of This Quotation Estimate</w:t>
      </w:r>
    </w:p>
    <w:p>
      <w:pPr>
        <w:pStyle w:val="FirstParagraph"/>
      </w:pPr>
      <w:r>
        <w:t xml:space="preserve">This</w:t>
      </w:r>
      <w:r>
        <w:t xml:space="preserve"> </w:t>
      </w:r>
      <w:r>
        <w:t xml:space="preserve">Quotation Estimate</w:t>
      </w:r>
      <w:r>
        <w:t xml:space="preserve"> </w:t>
      </w:r>
      <w:r>
        <w:t xml:space="preserve">is valid for a period of thirty (30) calendar days from the date of issue. Should the client wish to proceed beyond this validity window, a revised</w:t>
      </w:r>
      <w:r>
        <w:t xml:space="preserve"> </w:t>
      </w:r>
      <w:r>
        <w:t xml:space="preserve">Quotation Estimate</w:t>
      </w:r>
      <w:r>
        <w:t xml:space="preserve"> </w:t>
      </w:r>
      <w:r>
        <w:t xml:space="preserve">reflecting any changes in Doctor General Practitioner availability, diagnostic laboratory pricing, or applicable United Arab Emirates tax regulations will be issued at no additional cost. Acceptance of this</w:t>
      </w:r>
      <w:r>
        <w:t xml:space="preserve"> </w:t>
      </w:r>
      <w:r>
        <w:t xml:space="preserve">Quotation Estimate</w:t>
      </w:r>
      <w:r>
        <w:t xml:space="preserve"> </w:t>
      </w:r>
      <w:r>
        <w:t xml:space="preserve">shall be confirmed in writing via email or signed copy returned to our Dubai office.</w:t>
      </w:r>
    </w:p>
    <w:bookmarkEnd w:id="26"/>
    <w:bookmarkStart w:id="27" w:name="payment-terms"/>
    <w:p>
      <w:pPr>
        <w:pStyle w:val="Heading2"/>
      </w:pPr>
      <w:r>
        <w:t xml:space="preserve">5. Payment Terms</w:t>
      </w:r>
    </w:p>
    <w:p>
      <w:pPr>
        <w:pStyle w:val="FirstParagraph"/>
      </w:pPr>
      <w:r>
        <w:t xml:space="preserve">Payment for the services outlined in this</w:t>
      </w:r>
      <w:r>
        <w:t xml:space="preserve"> </w:t>
      </w:r>
      <w:r>
        <w:t xml:space="preserve">Quotation Estimate</w:t>
      </w:r>
      <w:r>
        <w:t xml:space="preserve"> </w:t>
      </w:r>
      <w:r>
        <w:t xml:space="preserve">is due within fourteen (14) days of the date of acceptance. Accepted payment methods include bank transfer to our Dubai corporate account, credit/debit card, and approved corporate health insurance claims processed through the United Arab Emirates insurance network. A 2% late payment surcharge will apply to any balance outstanding beyond the stipulated due date. All fees are inclusive of the Doctor General Practitioner's professional time, clinic facility usage, and standard diagnostic consumables unless otherwise noted.</w:t>
      </w:r>
    </w:p>
    <w:bookmarkEnd w:id="27"/>
    <w:bookmarkStart w:id="28" w:name="terms-and-conditions"/>
    <w:p>
      <w:pPr>
        <w:pStyle w:val="Heading2"/>
      </w:pPr>
      <w:r>
        <w:t xml:space="preserve">6. Terms and Conditions</w:t>
      </w:r>
    </w:p>
    <w:p>
      <w:pPr>
        <w:pStyle w:val="FirstParagraph"/>
      </w:pPr>
      <w:r>
        <w:t xml:space="preserve">6.1. All services rendered by the</w:t>
      </w:r>
      <w:r>
        <w:t xml:space="preserve"> </w:t>
      </w:r>
      <w:r>
        <w:t xml:space="preserve">Doctor General Practitioner</w:t>
      </w:r>
      <w:r>
        <w:t xml:space="preserve"> </w:t>
      </w:r>
      <w:r>
        <w:t xml:space="preserve">are subject to the clinical judgement of the treating physician. The Doctor General Practitioner reserves the right to recommend additional diagnostic tests or specialist referrals in</w:t>
      </w:r>
      <w:r>
        <w:t xml:space="preserve"> </w:t>
      </w:r>
      <w:r>
        <w:t xml:space="preserve">United Arab Emirates, Dubai</w:t>
      </w:r>
      <w:r>
        <w:t xml:space="preserve"> </w:t>
      </w:r>
      <w:r>
        <w:t xml:space="preserve">if clinically indicated, which will be quoted separately.</w:t>
      </w:r>
    </w:p>
    <w:p>
      <w:pPr>
        <w:pStyle w:val="BodyText"/>
      </w:pPr>
      <w:r>
        <w:t xml:space="preserve">6.2. This</w:t>
      </w:r>
      <w:r>
        <w:t xml:space="preserve"> </w:t>
      </w:r>
      <w:r>
        <w:t xml:space="preserve">Quotation Estimate</w:t>
      </w:r>
      <w:r>
        <w:t xml:space="preserve"> </w:t>
      </w:r>
      <w:r>
        <w:t xml:space="preserve">does not guarantee specific medical outcomes. The Doctor General Practitioner will exercise the highest standard of care in accordance with DHA clinical guidelines and UAE medical practice regulations.</w:t>
      </w:r>
    </w:p>
    <w:p>
      <w:pPr>
        <w:pStyle w:val="BodyText"/>
      </w:pPr>
      <w:r>
        <w:t xml:space="preserve">6.3. Cancellation of scheduled Doctor General Practitioner appointments must be made at least twenty-four (24) hours in advance. Late cancellations or no-shows will incur a fee of 50% of the scheduled session rate.</w:t>
      </w:r>
    </w:p>
    <w:p>
      <w:pPr>
        <w:pStyle w:val="BodyText"/>
      </w:pPr>
      <w:r>
        <w:t xml:space="preserve">6.4. All patient data collected during the engagement of the Doctor General Practitioner will be stored securely in our Dubai-based electronic health record system and will not be disclosed to third parties without written consent, in compliance with UAE Federal Decree-Law No. 45 of 2021 on Personal Data Protection.</w:t>
      </w:r>
    </w:p>
    <w:p>
      <w:pPr>
        <w:pStyle w:val="BodyText"/>
      </w:pPr>
      <w:r>
        <w:t xml:space="preserve">6.5. This</w:t>
      </w:r>
      <w:r>
        <w:t xml:space="preserve"> </w:t>
      </w:r>
      <w:r>
        <w:t xml:space="preserve">Quotation Estimate</w:t>
      </w:r>
      <w:r>
        <w:t xml:space="preserve"> </w:t>
      </w:r>
      <w:r>
        <w:t xml:space="preserve">is governed by the laws of the United Arab Emirates, and any disputes arising from the services described herein shall be subject to the exclusive jurisdiction of the courts of Dubai, UAE.</w:t>
      </w:r>
    </w:p>
    <w:bookmarkEnd w:id="28"/>
    <w:bookmarkStart w:id="29" w:name="additional-notes"/>
    <w:p>
      <w:pPr>
        <w:pStyle w:val="Heading2"/>
      </w:pPr>
      <w:r>
        <w:t xml:space="preserve">7. Additional Notes</w:t>
      </w:r>
    </w:p>
    <w:p>
      <w:pPr>
        <w:pStyle w:val="FirstParagraph"/>
      </w:pPr>
      <w:r>
        <w:t xml:space="preserve">Our clinic operates Monday through Saturday from 8:00 AM to 10:00 PM and Sunday from 10:00 AM to 6:00 PM, in line with standard business hours in</w:t>
      </w:r>
      <w:r>
        <w:t xml:space="preserve"> </w:t>
      </w:r>
      <w:r>
        <w:t xml:space="preserve">United Arab Emirates, Dubai</w:t>
      </w:r>
      <w:r>
        <w:t xml:space="preserve">. The Doctor General Practitioner is available for emergency walk-in consultations during all operating hours. For corporate clients, we offer dedicated account management and consolidated monthly billing for recurring Doctor General Practitioner services. This</w:t>
      </w:r>
      <w:r>
        <w:t xml:space="preserve"> </w:t>
      </w:r>
      <w:r>
        <w:t xml:space="preserve">Quotation Estimate</w:t>
      </w:r>
      <w:r>
        <w:t xml:space="preserve"> </w:t>
      </w:r>
      <w:r>
        <w:t xml:space="preserve">may be extended to cover additional family members or employees at a 10% volume discount upon request.</w:t>
      </w:r>
    </w:p>
    <w:p>
      <w:pPr>
        <w:pStyle w:val="BodyText"/>
      </w:pPr>
      <w:r>
        <w:rPr>
          <w:bCs/>
          <w:b/>
        </w:rPr>
        <w:t xml:space="preserve">For and on behalf of Al Noor General Practitioner Clinic</w:t>
      </w:r>
    </w:p>
    <w:p>
      <w:pPr>
        <w:pStyle w:val="BodyText"/>
      </w:pPr>
      <w:r>
        <w:t xml:space="preserve">Dr. [Name], Doctor General Practitioner</w:t>
      </w:r>
      <w:r>
        <w:br/>
      </w:r>
      <w:r>
        <w:t xml:space="preserve">DHA License: DHA-GP-2024-88341</w:t>
      </w:r>
      <w:r>
        <w:br/>
      </w:r>
      <w:r>
        <w:t xml:space="preserve">Date: _______________</w:t>
      </w:r>
    </w:p>
    <w:p>
      <w:pPr>
        <w:pStyle w:val="BodyText"/>
      </w:pPr>
      <w:r>
        <w:rPr>
          <w:bCs/>
          <w:b/>
        </w:rPr>
        <w:t xml:space="preserve">Client Acceptance</w:t>
      </w:r>
    </w:p>
    <w:p>
      <w:pPr>
        <w:pStyle w:val="BodyText"/>
      </w:pPr>
      <w:r>
        <w:t xml:space="preserve">Name: _______________</w:t>
      </w:r>
      <w:r>
        <w:br/>
      </w:r>
      <w:r>
        <w:t xml:space="preserve">Signature: _______________</w:t>
      </w:r>
      <w:r>
        <w:br/>
      </w:r>
      <w:r>
        <w:t xml:space="preserve">Date: _______________</w:t>
      </w:r>
    </w:p>
    <w:p>
      <w:pPr>
        <w:pStyle w:val="BodyText"/>
      </w:pPr>
      <w:r>
        <w:t xml:space="preserve">Al Noor General Practitioner Clinic | Sheikh Zayed Road, Downtown Dubai, United Arab Emirates</w:t>
      </w:r>
    </w:p>
    <w:p>
      <w:pPr>
        <w:pStyle w:val="BodyText"/>
      </w:pPr>
      <w:r>
        <w:t xml:space="preserve">DHA Licensed Facility | TRN: 100XXXXXXX | This Quotation Estimate is a controlled document. Unauthorised reproduction is prohibited.</w:t>
      </w:r>
    </w:p>
    <w:p>
      <w:pPr>
        <w:pStyle w:val="BodyText"/>
      </w:pPr>
      <w:r>
        <w:t xml:space="preserve">Page 1 of 1 | Generated: [Date of Issue]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United Arab Emirates Dubai</dc:title>
  <dc:creator/>
  <dc:language>en</dc:language>
  <cp:keywords/>
  <dcterms:created xsi:type="dcterms:W3CDTF">2026-10-10T08:06:18Z</dcterms:created>
  <dcterms:modified xsi:type="dcterms:W3CDTF">2026-10-10T08:06:18Z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