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Doctor General Practitioner – Medical Services</w:t>
      </w:r>
    </w:p>
    <w:p>
      <w:pPr>
        <w:pStyle w:val="BodyText"/>
      </w:pPr>
      <w:r>
        <w:t xml:space="preserve">United Kingdom London</w:t>
      </w:r>
    </w:p>
    <w:p>
      <w:pPr>
        <w:pStyle w:val="BodyText"/>
      </w:pPr>
      <w:r>
        <w:t xml:space="preserve">Ref: QTE-LON-2025-04871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14 June 2025</w:t>
            </w:r>
          </w:p>
        </w:tc>
        <w:tc>
          <w:tcPr/>
          <w:p>
            <w:pPr>
              <w:pStyle w:val="Compact"/>
              <w:jc w:val="left"/>
            </w:pPr>
            <w:r>
              <w:t xml:space="preserve">Quotation Valid Until</w:t>
            </w:r>
          </w:p>
        </w:tc>
        <w:tc>
          <w:tcPr/>
          <w:p>
            <w:pPr>
              <w:pStyle w:val="Compact"/>
              <w:jc w:val="left"/>
            </w:pPr>
            <w:r>
              <w:t xml:space="preserve">14 July 2025 (30 days)</w:t>
            </w:r>
          </w:p>
        </w:tc>
      </w:tr>
      <w:tr>
        <w:tc>
          <w:tcPr/>
          <w:p>
            <w:pPr>
              <w:pStyle w:val="Compact"/>
              <w:jc w:val="left"/>
            </w:pPr>
            <w:r>
              <w:t xml:space="preserve">Prepared By</w:t>
            </w:r>
          </w:p>
        </w:tc>
        <w:tc>
          <w:tcPr/>
          <w:p>
            <w:pPr>
              <w:pStyle w:val="Compact"/>
              <w:jc w:val="left"/>
            </w:pPr>
            <w:r>
              <w:t xml:space="preserve">Dr. Eleanor Whitfield, MBChB, MRCGP</w:t>
            </w:r>
          </w:p>
        </w:tc>
        <w:tc>
          <w:tcPr/>
          <w:p>
            <w:pPr>
              <w:pStyle w:val="Compact"/>
              <w:jc w:val="left"/>
            </w:pPr>
            <w:r>
              <w:t xml:space="preserve">Practice Address</w:t>
            </w:r>
          </w:p>
        </w:tc>
        <w:tc>
          <w:tcPr/>
          <w:p>
            <w:pPr>
              <w:pStyle w:val="Compact"/>
              <w:jc w:val="left"/>
            </w:pPr>
            <w:r>
              <w:t xml:space="preserve">247 Kensington High Street, London W8 7PT, United Kingdom</w:t>
            </w:r>
          </w:p>
        </w:tc>
      </w:tr>
      <w:tr>
        <w:tc>
          <w:tcPr/>
          <w:p>
            <w:pPr>
              <w:pStyle w:val="Compact"/>
              <w:jc w:val="left"/>
            </w:pPr>
            <w:r>
              <w:t xml:space="preserve">Client / Patient Name</w:t>
            </w:r>
          </w:p>
        </w:tc>
        <w:tc>
          <w:tcPr/>
          <w:p>
            <w:pPr>
              <w:pStyle w:val="Compact"/>
              <w:jc w:val="left"/>
            </w:pPr>
            <w:r>
              <w:t xml:space="preserve">Mr. James A. Hartley</w:t>
            </w:r>
          </w:p>
        </w:tc>
        <w:tc>
          <w:tcPr/>
          <w:p>
            <w:pPr>
              <w:pStyle w:val="Compact"/>
              <w:jc w:val="left"/>
            </w:pPr>
            <w:r>
              <w:t xml:space="preserve">NHS Number</w:t>
            </w:r>
          </w:p>
        </w:tc>
        <w:tc>
          <w:tcPr/>
          <w:p>
            <w:pPr>
              <w:pStyle w:val="Compact"/>
              <w:jc w:val="left"/>
            </w:pPr>
            <w:r>
              <w:t xml:space="preserve">485 777 3456</w:t>
            </w:r>
          </w:p>
        </w:tc>
      </w:tr>
      <w:tr>
        <w:tc>
          <w:tcPr/>
          <w:p>
            <w:pPr>
              <w:pStyle w:val="Compact"/>
              <w:jc w:val="left"/>
            </w:pPr>
            <w:r>
              <w:t xml:space="preserve">Client Address</w:t>
            </w:r>
          </w:p>
        </w:tc>
        <w:tc>
          <w:tcPr/>
          <w:p>
            <w:pPr>
              <w:pStyle w:val="Compact"/>
              <w:jc w:val="left"/>
            </w:pPr>
            <w:r>
              <w:t xml:space="preserve">12 Belgravia Road, London SW1X 7RL, United Kingdom</w:t>
            </w:r>
          </w:p>
        </w:tc>
        <w:tc>
          <w:tcPr/>
          <w:p>
            <w:pPr>
              <w:pStyle w:val="Compact"/>
              <w:jc w:val="left"/>
            </w:pPr>
            <w:r>
              <w:t xml:space="preserve">Contact Telephone</w:t>
            </w:r>
          </w:p>
        </w:tc>
        <w:tc>
          <w:tcPr/>
          <w:p>
            <w:pPr>
              <w:pStyle w:val="Compact"/>
              <w:jc w:val="left"/>
            </w:pPr>
            <w:r>
              <w:t xml:space="preserve">+44 (0)20 7946 0821</w:t>
            </w:r>
          </w:p>
        </w:tc>
      </w:tr>
      <w:tr>
        <w:tc>
          <w:tcPr/>
          <w:p>
            <w:pPr>
              <w:pStyle w:val="Compact"/>
              <w:jc w:val="left"/>
            </w:pPr>
            <w:r>
              <w:t xml:space="preserve">GMC Registration No.</w:t>
            </w:r>
          </w:p>
        </w:tc>
        <w:tc>
          <w:tcPr/>
          <w:p>
            <w:pPr>
              <w:pStyle w:val="Compact"/>
              <w:jc w:val="left"/>
            </w:pPr>
            <w:r>
              <w:t xml:space="preserve">7845213</w:t>
            </w:r>
          </w:p>
        </w:tc>
        <w:tc>
          <w:tcPr/>
          <w:p>
            <w:pPr>
              <w:pStyle w:val="Compact"/>
              <w:jc w:val="left"/>
            </w:pPr>
            <w:r>
              <w:t xml:space="preserve">Practice Telephone</w:t>
            </w:r>
          </w:p>
        </w:tc>
        <w:tc>
          <w:tcPr/>
          <w:p>
            <w:pPr>
              <w:pStyle w:val="Compact"/>
              <w:jc w:val="left"/>
            </w:pPr>
            <w:r>
              <w:t xml:space="preserve">+44 (0)20 7221 4456</w:t>
            </w:r>
          </w:p>
        </w:tc>
      </w:tr>
    </w:tbl>
    <w:bookmarkStart w:id="21" w:name="purpose-of-this-quotation-estimate"/>
    <w:p>
      <w:pPr>
        <w:pStyle w:val="Heading2"/>
      </w:pPr>
      <w:r>
        <w:t xml:space="preserve">1. Purpose of This Quotation Estimate</w:t>
      </w:r>
    </w:p>
    <w:p>
      <w:pPr>
        <w:pStyle w:val="FirstParagraph"/>
      </w:pPr>
      <w:r>
        <w:t xml:space="preserve">This Quotation Estimate has been prepared by the undersigned Doctor General Practitioner to provide Mr. James A. Hartley with a comprehensive, itemised breakdown of anticipated medical services, diagnostic procedures, and ongoing care management to be delivered at our practice located in the heart of United Kingdom London. This document serves as a formal cost projection and is not a binding invoice. All figures are provided in British Pounds Sterling (GBP) and are subject to the terms and conditions outlined in Section 5 of this Quotation Estimate.</w:t>
      </w:r>
    </w:p>
    <w:bookmarkEnd w:id="21"/>
    <w:bookmarkStart w:id="22" w:name="X26a69de84c772baaca338afb8825f9f7c7e9db0"/>
    <w:p>
      <w:pPr>
        <w:pStyle w:val="Heading2"/>
      </w:pPr>
      <w:r>
        <w:t xml:space="preserve">2. Scope of Services – Doctor General Practitioner Care Plan</w:t>
      </w:r>
    </w:p>
    <w:p>
      <w:pPr>
        <w:pStyle w:val="FirstParagraph"/>
      </w:pPr>
      <w:r>
        <w:t xml:space="preserve">The following services have been recommended following an initial consultation conducted on 10 June 2025. As your Doctor General Practitioner, I am committed to delivering holistic, evidence-based primary care in accordance with the National Institute for Health and Care Excellence (NICE) guidelines and the General Medical Council (GMC) standards of good medical practice applicable throughout the United Kingdom.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(GBP)</w:t>
            </w:r>
          </w:p>
        </w:tc>
        <w:tc>
          <w:tcPr/>
          <w:p>
            <w:pPr>
              <w:pStyle w:val="Compact"/>
              <w:jc w:val="left"/>
            </w:pPr>
            <w:r>
              <w:t xml:space="preserve">Estimated Total (GBP)</w:t>
            </w:r>
          </w:p>
        </w:tc>
      </w:tr>
      <w:tr>
        <w:tc>
          <w:tcPr/>
          <w:p>
            <w:pPr>
              <w:pStyle w:val="Compact"/>
              <w:jc w:val="left"/>
            </w:pPr>
            <w:r>
              <w:t xml:space="preserve">01</w:t>
            </w:r>
          </w:p>
        </w:tc>
        <w:tc>
          <w:tcPr/>
          <w:p>
            <w:pPr>
              <w:pStyle w:val="Compact"/>
              <w:jc w:val="left"/>
            </w:pPr>
            <w:r>
              <w:t xml:space="preserve">Comprehensive Annual Health Assessment &amp; Lifestyle Review by Doctor General Practitioner</w:t>
            </w:r>
          </w:p>
        </w:tc>
        <w:tc>
          <w:tcPr/>
          <w:p>
            <w:pPr>
              <w:pStyle w:val="Compact"/>
              <w:jc w:val="left"/>
            </w:pPr>
            <w:r>
              <w:t xml:space="preserve">Once (Year 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Full Blood Panel (FBC, U&amp;E, LFT, Lipid Profile, HbA1c, Thyroid Function)</w:t>
            </w:r>
          </w:p>
        </w:tc>
        <w:tc>
          <w:tcPr/>
          <w:p>
            <w:pPr>
              <w:pStyle w:val="Compact"/>
              <w:jc w:val="left"/>
            </w:pPr>
            <w:r>
              <w:t xml:space="preserve">Twice Yearly</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03</w:t>
            </w:r>
          </w:p>
        </w:tc>
        <w:tc>
          <w:tcPr/>
          <w:p>
            <w:pPr>
              <w:pStyle w:val="Compact"/>
              <w:jc w:val="left"/>
            </w:pPr>
            <w:r>
              <w:t xml:space="preserve">12-Lead Electrocardiogram (ECG) with Doctor General Practitioner Interpretation</w:t>
            </w:r>
          </w:p>
        </w:tc>
        <w:tc>
          <w:tcPr/>
          <w:p>
            <w:pPr>
              <w:pStyle w:val="Compact"/>
              <w:jc w:val="left"/>
            </w:pPr>
            <w:r>
              <w:t xml:space="preserve">Once (Year 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04</w:t>
            </w:r>
          </w:p>
        </w:tc>
        <w:tc>
          <w:tcPr/>
          <w:p>
            <w:pPr>
              <w:pStyle w:val="Compact"/>
              <w:jc w:val="left"/>
            </w:pPr>
            <w:r>
              <w:t xml:space="preserve">Follow-Up Consultation (20 minutes) – Blood Pressure &amp; Cholesterol Management</w:t>
            </w:r>
          </w:p>
        </w:tc>
        <w:tc>
          <w:tcPr/>
          <w:p>
            <w:pPr>
              <w:pStyle w:val="Compact"/>
              <w:jc w:val="left"/>
            </w:pPr>
            <w:r>
              <w:t xml:space="preserve">Quarterly (×4)</w:t>
            </w:r>
          </w:p>
        </w:tc>
        <w:tc>
          <w:tcPr/>
          <w:p>
            <w:pPr>
              <w:pStyle w:val="Compact"/>
              <w:jc w:val="left"/>
            </w:pPr>
            <w:r>
              <w:t xml:space="preserve">£65.00</w:t>
            </w:r>
          </w:p>
        </w:tc>
        <w:tc>
          <w:tcPr/>
          <w:p>
            <w:pPr>
              <w:pStyle w:val="Compact"/>
              <w:jc w:val="left"/>
            </w:pPr>
            <w:r>
              <w:t xml:space="preserve">£260.00</w:t>
            </w:r>
          </w:p>
        </w:tc>
      </w:tr>
      <w:tr>
        <w:tc>
          <w:tcPr/>
          <w:p>
            <w:pPr>
              <w:pStyle w:val="Compact"/>
              <w:jc w:val="left"/>
            </w:pPr>
            <w:r>
              <w:t xml:space="preserve">05</w:t>
            </w:r>
          </w:p>
        </w:tc>
        <w:tc>
          <w:tcPr/>
          <w:p>
            <w:pPr>
              <w:pStyle w:val="Compact"/>
              <w:jc w:val="left"/>
            </w:pPr>
            <w:r>
              <w:t xml:space="preserve">Referral Coordination &amp; Specialist Liaison (United Kingdom London-based consultants)</w:t>
            </w:r>
          </w:p>
        </w:tc>
        <w:tc>
          <w:tcPr/>
          <w:p>
            <w:pPr>
              <w:pStyle w:val="Compact"/>
              <w:jc w:val="left"/>
            </w:pPr>
            <w:r>
              <w:t xml:space="preserve">As Required (est. ×2)</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06</w:t>
            </w:r>
          </w:p>
        </w:tc>
        <w:tc>
          <w:tcPr/>
          <w:p>
            <w:pPr>
              <w:pStyle w:val="Compact"/>
              <w:jc w:val="left"/>
            </w:pPr>
            <w:r>
              <w:t xml:space="preserve">Prescription Management &amp; Medication Review (including NHS e-prescribing)</w:t>
            </w:r>
          </w:p>
        </w:tc>
        <w:tc>
          <w:tcPr/>
          <w:p>
            <w:pPr>
              <w:pStyle w:val="Compact"/>
              <w:jc w:val="left"/>
            </w:pPr>
            <w:r>
              <w:t xml:space="preserve">Monthly (×12)</w:t>
            </w:r>
          </w:p>
        </w:tc>
        <w:tc>
          <w:tcPr/>
          <w:p>
            <w:pPr>
              <w:pStyle w:val="Compact"/>
              <w:jc w:val="left"/>
            </w:pPr>
            <w:r>
              <w:t xml:space="preserve">£12.00</w:t>
            </w:r>
          </w:p>
        </w:tc>
        <w:tc>
          <w:tcPr/>
          <w:p>
            <w:pPr>
              <w:pStyle w:val="Compact"/>
              <w:jc w:val="left"/>
            </w:pPr>
            <w:r>
              <w:t xml:space="preserve">£144.00</w:t>
            </w:r>
          </w:p>
        </w:tc>
      </w:tr>
      <w:tr>
        <w:tc>
          <w:tcPr/>
          <w:p>
            <w:pPr>
              <w:pStyle w:val="Compact"/>
              <w:jc w:val="left"/>
            </w:pPr>
            <w:r>
              <w:t xml:space="preserve">07</w:t>
            </w:r>
          </w:p>
        </w:tc>
        <w:tc>
          <w:tcPr/>
          <w:p>
            <w:pPr>
              <w:pStyle w:val="Compact"/>
              <w:jc w:val="left"/>
            </w:pPr>
            <w:r>
              <w:t xml:space="preserve">Health Record Maintenance &amp; Annual Summary Letter to Patient</w:t>
            </w:r>
          </w:p>
        </w:tc>
        <w:tc>
          <w:tcPr/>
          <w:p>
            <w:pPr>
              <w:pStyle w:val="Compact"/>
              <w:jc w:val="left"/>
            </w:pPr>
            <w:r>
              <w:t xml:space="preserve">Annually</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08</w:t>
            </w:r>
          </w:p>
        </w:tc>
        <w:tc>
          <w:tcPr/>
          <w:p>
            <w:pPr>
              <w:pStyle w:val="Compact"/>
              <w:jc w:val="left"/>
            </w:pPr>
            <w:r>
              <w:t xml:space="preserve">Out-of-Hours Telephone Triage &amp; Advice Line (Doctor General Practitioner on call)</w:t>
            </w:r>
          </w:p>
        </w:tc>
        <w:tc>
          <w:tcPr/>
          <w:p>
            <w:pPr>
              <w:pStyle w:val="Compact"/>
              <w:jc w:val="left"/>
            </w:pPr>
            <w:r>
              <w:t xml:space="preserve">Annual Subscription</w:t>
            </w:r>
          </w:p>
        </w:tc>
        <w:tc>
          <w:tcPr/>
          <w:p>
            <w:pPr>
              <w:pStyle w:val="Compact"/>
              <w:jc w:val="left"/>
            </w:pPr>
            <w:r>
              <w:t xml:space="preserve">£120.00</w:t>
            </w:r>
          </w:p>
        </w:tc>
        <w:tc>
          <w:tcPr/>
          <w:p>
            <w:pPr>
              <w:pStyle w:val="Compact"/>
              <w:jc w:val="left"/>
            </w:pPr>
            <w:r>
              <w:t xml:space="preserve">£120.00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01–08)</w:t>
            </w:r>
          </w:p>
        </w:tc>
        <w:tc>
          <w:tcPr/>
          <w:p>
            <w:pPr>
              <w:pStyle w:val="Compact"/>
              <w:jc w:val="left"/>
            </w:pPr>
            <w:r>
              <w:t xml:space="preserve">£1,099.00</w:t>
            </w:r>
          </w:p>
        </w:tc>
      </w:tr>
      <w:tr>
        <w:tc>
          <w:tcPr/>
          <w:p>
            <w:pPr>
              <w:pStyle w:val="Compact"/>
              <w:jc w:val="left"/>
            </w:pPr>
            <w:r>
              <w:t xml:space="preserve">VAT (20% – where applicable to private services)</w:t>
            </w:r>
          </w:p>
        </w:tc>
        <w:tc>
          <w:tcPr/>
          <w:p>
            <w:pPr>
              <w:pStyle w:val="Compact"/>
              <w:jc w:val="left"/>
            </w:pPr>
            <w:r>
              <w:t xml:space="preserve">£219.80</w:t>
            </w:r>
          </w:p>
        </w:tc>
      </w:tr>
      <w:tr>
        <w:tc>
          <w:tcPr/>
          <w:p>
            <w:pPr>
              <w:pStyle w:val="Compact"/>
              <w:jc w:val="left"/>
            </w:pPr>
            <w:r>
              <w:t xml:space="preserve">NHS Subsidy Adjustment (where eligible)</w:t>
            </w:r>
          </w:p>
        </w:tc>
        <w:tc>
          <w:tcPr/>
          <w:p>
            <w:pPr>
              <w:pStyle w:val="Compact"/>
              <w:jc w:val="left"/>
            </w:pPr>
            <w:r>
              <w:t xml:space="preserve">−£310.00</w:t>
            </w:r>
          </w:p>
        </w:tc>
      </w:tr>
      <w:tr>
        <w:tc>
          <w:tcPr/>
          <w:p>
            <w:pPr>
              <w:pStyle w:val="Compact"/>
              <w:jc w:val="left"/>
            </w:pPr>
            <w:r>
              <w:t xml:space="preserve">Estimated Net Total</w:t>
            </w:r>
          </w:p>
        </w:tc>
        <w:tc>
          <w:tcPr/>
          <w:p>
            <w:pPr>
              <w:pStyle w:val="Compact"/>
              <w:jc w:val="left"/>
            </w:pPr>
            <w:r>
              <w:t xml:space="preserve">£1,008.80</w:t>
            </w:r>
          </w:p>
        </w:tc>
      </w:tr>
    </w:tbl>
    <w:bookmarkEnd w:id="22"/>
    <w:bookmarkStart w:id="23" w:name="notes-on-pricing-and-nhs-coverage"/>
    <w:p>
      <w:pPr>
        <w:pStyle w:val="Heading2"/>
      </w:pPr>
      <w:r>
        <w:t xml:space="preserve">3. Notes on Pricing and NHS Coverage</w:t>
      </w:r>
    </w:p>
    <w:p>
      <w:pPr>
        <w:pStyle w:val="FirstParagraph"/>
      </w:pPr>
      <w:r>
        <w:t xml:space="preserve">Please be advised that as a Doctor General Practitioner registered with the NHS in United Kingdom London, a significant portion of the services listed above may be provided free of charge at the point of use under the National Health Service. The figures presented in this Quotation Estimate reflect the private-pay rate for patients who elect to receive care outside the standard NHS pathway or who require expedited appointments, extended consultation times, or additional diagnostic work not routinely funded. Where a service is fully covered by the NHS, the corresponding line item will be adjusted to £0.00 upon confirmation of your NHS registration status with our practice in London.</w:t>
      </w:r>
    </w:p>
    <w:bookmarkEnd w:id="23"/>
    <w:bookmarkStart w:id="24" w:name="assumptions-and-exclusions"/>
    <w:p>
      <w:pPr>
        <w:pStyle w:val="Heading2"/>
      </w:pPr>
      <w:r>
        <w:t xml:space="preserve">4. Assumptions and Exclusions</w:t>
      </w:r>
    </w:p>
    <w:p>
      <w:pPr>
        <w:pStyle w:val="FirstParagraph"/>
      </w:pPr>
      <w:r>
        <w:t xml:space="preserve">This Quotation Estimate assumes that no acute or emergency medical intervention will be required during the twelve-month care period. Emergency department attendance, inpatient hospitalisation, surgical procedures, and specialist investigations (e.g., MRI, CT, endoscopy) are excluded from this estimate and will be quoted separately should they become necessary. All laboratory work is to be performed at our in-house facility in Kensington, London, or at an approved United Kingdom accredited laboratory. Travel, accommodation, or interpreter services are not included.</w:t>
      </w:r>
    </w:p>
    <w:bookmarkEnd w:id="24"/>
    <w:bookmarkStart w:id="26" w:name="terms-and-conditions"/>
    <w:p>
      <w:pPr>
        <w:pStyle w:val="Heading2"/>
      </w:pPr>
      <w:r>
        <w:t xml:space="preserve">5. Terms and Conditions</w:t>
      </w:r>
    </w:p>
    <w:bookmarkStart w:id="25" w:name="Xa378c8a3b7a5253acb1a186506743fc61bc62c3"/>
    <w:p>
      <w:pPr>
        <w:pStyle w:val="Heading3"/>
      </w:pPr>
      <w:r>
        <w:t xml:space="preserve">Conditions Governing This Quotation Estimate</w:t>
      </w:r>
    </w:p>
    <w:p>
      <w:pPr>
        <w:numPr>
          <w:ilvl w:val="0"/>
          <w:numId w:val="1001"/>
        </w:numPr>
        <w:pStyle w:val="Compact"/>
      </w:pPr>
      <w:r>
        <w:t xml:space="preserve">This Quotation Estimate is valid for a period of thirty (30) calendar days from the date of issue. After this period, prices may be revised to reflect changes in NHS reference costs, laboratory reagent pricing, or practice operational expenses in United Kingdom London.</w:t>
      </w:r>
    </w:p>
    <w:p>
      <w:pPr>
        <w:numPr>
          <w:ilvl w:val="0"/>
          <w:numId w:val="1001"/>
        </w:numPr>
        <w:pStyle w:val="Compact"/>
      </w:pPr>
      <w:r>
        <w:t xml:space="preserve">Payment of the estimated total is due within fourteen (14) days of the date of issue, unless a different arrangement is agreed in writing between the Doctor General Practitioner and the patient.</w:t>
      </w:r>
    </w:p>
    <w:p>
      <w:pPr>
        <w:numPr>
          <w:ilvl w:val="0"/>
          <w:numId w:val="1001"/>
        </w:numPr>
        <w:pStyle w:val="Compact"/>
      </w:pPr>
      <w:r>
        <w:t xml:space="preserve">Should the actual services rendered differ materially from those itemised above, a revised Quotation Estimate or final invoice will be issued prior to the conclusion of the care period.</w:t>
      </w:r>
    </w:p>
    <w:p>
      <w:pPr>
        <w:numPr>
          <w:ilvl w:val="0"/>
          <w:numId w:val="1001"/>
        </w:numPr>
        <w:pStyle w:val="Compact"/>
      </w:pPr>
      <w:r>
        <w:t xml:space="preserve">All clinical decisions remain at the sole discretion of the Doctor General Practitioner in accordance with GMC guidance. The patient reserves the right to seek a second opinion from any other registered medical practitioner in the United Kingdom.</w:t>
      </w:r>
    </w:p>
    <w:p>
      <w:pPr>
        <w:numPr>
          <w:ilvl w:val="0"/>
          <w:numId w:val="1001"/>
        </w:numPr>
        <w:pStyle w:val="Compact"/>
      </w:pPr>
      <w:r>
        <w:t xml:space="preserve">Confidentiality of all medical records and correspondence is maintained in strict compliance with the UK Data Protection Act 2018 and the General Data Protection Regulation (GDPR) as applied in the United Kingdom.</w:t>
      </w:r>
    </w:p>
    <w:p>
      <w:pPr>
        <w:numPr>
          <w:ilvl w:val="0"/>
          <w:numId w:val="1001"/>
        </w:numPr>
        <w:pStyle w:val="Compact"/>
      </w:pPr>
      <w:r>
        <w:t xml:space="preserve">This Quotation Estimate does not constitute a contract of employment, a guarantee of specific clinical outcomes, or a waiver of any rights afforded under NHS or private healthcare legislation in the United Kingdom.</w:t>
      </w:r>
    </w:p>
    <w:p>
      <w:pPr>
        <w:numPr>
          <w:ilvl w:val="0"/>
          <w:numId w:val="1001"/>
        </w:numPr>
        <w:pStyle w:val="Compact"/>
      </w:pPr>
      <w:r>
        <w:t xml:space="preserve">Disputes arising from this Quotation Estimate shall be resolved in accordance with the law of England and Wales, and the courts of London shall have exclusive jurisdiction.</w:t>
      </w:r>
    </w:p>
    <w:bookmarkEnd w:id="25"/>
    <w:bookmarkEnd w:id="26"/>
    <w:bookmarkStart w:id="27" w:name="acceptance"/>
    <w:p>
      <w:pPr>
        <w:pStyle w:val="Heading2"/>
      </w:pPr>
      <w:r>
        <w:t xml:space="preserve">6. Acceptance</w:t>
      </w:r>
    </w:p>
    <w:p>
      <w:pPr>
        <w:pStyle w:val="FirstParagraph"/>
      </w:pPr>
      <w:r>
        <w:t xml:space="preserve">By signing below, the patient acknowledges receipt of this Quotation Estimate and agrees to the terms set out herein. The Doctor General Practitioner confirms that the services described will be delivered to the standard of care expected of a registered medical practitioner in United Kingdom London.</w:t>
      </w:r>
    </w:p>
    <w:p>
      <w:pPr>
        <w:pStyle w:val="BodyText"/>
      </w:pPr>
      <w:r>
        <w:rPr>
          <w:bCs/>
          <w:b/>
        </w:rPr>
        <w:t xml:space="preserve">Patient Signature:</w:t>
      </w:r>
      <w:r>
        <w:br/>
      </w:r>
      <w:r>
        <w:t xml:space="preserve">Name: Mr. James A. Hartley</w:t>
      </w:r>
      <w:r>
        <w:br/>
      </w:r>
      <w:r>
        <w:t xml:space="preserve">Date: ______________________</w:t>
      </w:r>
    </w:p>
    <w:p>
      <w:pPr>
        <w:pStyle w:val="BodyText"/>
      </w:pPr>
      <w:r>
        <w:rPr>
          <w:bCs/>
          <w:b/>
        </w:rPr>
        <w:t xml:space="preserve">Doctor General Practitioner Signature:</w:t>
      </w:r>
      <w:r>
        <w:br/>
      </w:r>
      <w:r>
        <w:t xml:space="preserve">Name: Dr. Eleanor Whitfield, MBChB, MRCGP</w:t>
      </w:r>
      <w:r>
        <w:br/>
      </w:r>
      <w:r>
        <w:t xml:space="preserve">Date: ______________________</w:t>
      </w:r>
    </w:p>
    <w:p>
      <w:pPr>
        <w:pStyle w:val="BodyText"/>
      </w:pPr>
      <w:r>
        <w:t xml:space="preserve">Quotation Estimate Ref: QTE-LON-2025-04871 | Doctor General Practitioner Services | United Kingdom London</w:t>
      </w:r>
    </w:p>
    <w:p>
      <w:pPr>
        <w:pStyle w:val="BodyText"/>
      </w:pPr>
      <w:r>
        <w:t xml:space="preserve">This document is generated electronically and is valid without a physical signature. For queries, contact the practice office at +44 (0)20 7221 4456 or email: reception@kensingtongp.co.uk</w:t>
      </w:r>
    </w:p>
    <w:p>
      <w:pPr>
        <w:pStyle w:val="BodyText"/>
      </w:pPr>
      <w:r>
        <w:t xml:space="preserve">© 2025 Kensington High Street Medical Practice, London, United Kingdom.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Services - United Kingdom London</dc:title>
  <dc:creator/>
  <dc:language>en-GB</dc:language>
  <cp:keywords/>
  <dcterms:created xsi:type="dcterms:W3CDTF">2026-10-10T14:24:42Z</dcterms:created>
  <dcterms:modified xsi:type="dcterms:W3CDTF">2026-10-10T14:24:42Z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