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Doctor</w:t>
      </w:r>
      <w:r>
        <w:t xml:space="preserve"> </w:t>
      </w:r>
      <w:r>
        <w:t xml:space="preserve">General</w:t>
      </w:r>
      <w:r>
        <w:t xml:space="preserve"> </w:t>
      </w:r>
      <w:r>
        <w:t xml:space="preserve">Practitioner</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quotation-estimate"/>
    <w:p>
      <w:pPr>
        <w:pStyle w:val="Heading1"/>
      </w:pPr>
      <w:r>
        <w:t xml:space="preserve">QUOTATION ESTIMATE</w:t>
      </w:r>
    </w:p>
    <w:p>
      <w:pPr>
        <w:pStyle w:val="FirstParagraph"/>
      </w:pPr>
      <w:r>
        <w:t xml:space="preserve">Professional Medical Services — Doctor General Practitioner</w:t>
      </w:r>
    </w:p>
    <w:p>
      <w:pPr>
        <w:pStyle w:val="BodyText"/>
      </w:pPr>
      <w:r>
        <w:t xml:space="preserve">Document Reference: QTE-HOU-2025-04871 | United States Houston, Texas 77002</w:t>
      </w:r>
    </w:p>
    <w:bookmarkEnd w:id="20"/>
    <w:bookmarkStart w:id="21" w:name="provider-information"/>
    <w:p>
      <w:pPr>
        <w:pStyle w:val="Heading3"/>
      </w:pPr>
      <w:r>
        <w:t xml:space="preserve">Provider Information</w:t>
      </w:r>
    </w:p>
    <w:p>
      <w:pPr>
        <w:pStyle w:val="FirstParagraph"/>
      </w:pPr>
      <w:r>
        <w:rPr>
          <w:bCs/>
          <w:b/>
        </w:rPr>
        <w:t xml:space="preserve">Dr. Margaret L. Whitfield, MD, FACP</w:t>
      </w:r>
    </w:p>
    <w:p>
      <w:pPr>
        <w:pStyle w:val="BodyText"/>
      </w:pPr>
      <w:r>
        <w:t xml:space="preserve">Doctor General Practitioner — Internal Medicine</w:t>
      </w:r>
    </w:p>
    <w:p>
      <w:pPr>
        <w:pStyle w:val="BodyText"/>
      </w:pPr>
      <w:r>
        <w:t xml:space="preserve">Whitfield Primary Care Associates</w:t>
      </w:r>
    </w:p>
    <w:p>
      <w:pPr>
        <w:pStyle w:val="BodyText"/>
      </w:pPr>
      <w:r>
        <w:t xml:space="preserve">4820 Memorial Drive, Suite 310</w:t>
      </w:r>
    </w:p>
    <w:p>
      <w:pPr>
        <w:pStyle w:val="BodyText"/>
      </w:pPr>
      <w:r>
        <w:t xml:space="preserve">Houston, Texas 77007, United States</w:t>
      </w:r>
    </w:p>
    <w:p>
      <w:pPr>
        <w:pStyle w:val="BodyText"/>
      </w:pPr>
      <w:r>
        <w:t xml:space="preserve">Tel: (713) 555-0142 | Fax: (713) 555-0143</w:t>
      </w:r>
    </w:p>
    <w:p>
      <w:pPr>
        <w:pStyle w:val="BodyText"/>
      </w:pPr>
      <w:r>
        <w:t xml:space="preserve">NPI: 1497823651 | TX License: H24871</w:t>
      </w:r>
    </w:p>
    <w:bookmarkEnd w:id="21"/>
    <w:bookmarkStart w:id="22" w:name="client-recipient-information"/>
    <w:p>
      <w:pPr>
        <w:pStyle w:val="Heading3"/>
      </w:pPr>
      <w:r>
        <w:t xml:space="preserve">Client / Recipient Information</w:t>
      </w:r>
    </w:p>
    <w:p>
      <w:pPr>
        <w:pStyle w:val="FirstParagraph"/>
      </w:pPr>
      <w:r>
        <w:rPr>
          <w:bCs/>
          <w:b/>
        </w:rPr>
        <w:t xml:space="preserve">Bayou City Health Partners, LLC</w:t>
      </w:r>
    </w:p>
    <w:p>
      <w:pPr>
        <w:pStyle w:val="BodyText"/>
      </w:pPr>
      <w:r>
        <w:t xml:space="preserve">Attn: Mr. David R. Calloway, Director of Operations</w:t>
      </w:r>
    </w:p>
    <w:p>
      <w:pPr>
        <w:pStyle w:val="BodyText"/>
      </w:pPr>
      <w:r>
        <w:t xml:space="preserve">1200 Louisiana Street, Floor 18</w:t>
      </w:r>
    </w:p>
    <w:p>
      <w:pPr>
        <w:pStyle w:val="BodyText"/>
      </w:pPr>
      <w:r>
        <w:t xml:space="preserve">Houston, Texas 77002, United States</w:t>
      </w:r>
    </w:p>
    <w:p>
      <w:pPr>
        <w:pStyle w:val="BodyText"/>
      </w:pPr>
      <w:r>
        <w:t xml:space="preserve">Tel: (713) 555-0298</w:t>
      </w:r>
    </w:p>
    <w:p>
      <w:pPr>
        <w:pStyle w:val="BodyText"/>
      </w:pPr>
      <w:r>
        <w:t xml:space="preserve">Email: d.calloway@bayoucityhealth.com</w:t>
      </w:r>
    </w:p>
    <w:bookmarkEnd w:id="22"/>
    <w:p>
      <w:pPr>
        <w:pStyle w:val="BodyText"/>
      </w:pPr>
      <w:r>
        <w:rPr>
          <w:bCs/>
          <w:b/>
        </w:rPr>
        <w:t xml:space="preserve">Date of Issue:</w:t>
      </w:r>
      <w:r>
        <w:t xml:space="preserve"> </w:t>
      </w:r>
      <w:r>
        <w:t xml:space="preserve">June 12, 2025</w:t>
      </w:r>
    </w:p>
    <w:p>
      <w:pPr>
        <w:pStyle w:val="BodyText"/>
      </w:pPr>
      <w:r>
        <w:rPr>
          <w:bCs/>
          <w:b/>
        </w:rPr>
        <w:t xml:space="preserve">Quotation Valid Until:</w:t>
      </w:r>
      <w:r>
        <w:t xml:space="preserve"> </w:t>
      </w:r>
      <w:r>
        <w:t xml:space="preserve">July 12, 2025 (30 days)</w:t>
      </w:r>
    </w:p>
    <w:p>
      <w:pPr>
        <w:pStyle w:val="BodyText"/>
      </w:pPr>
      <w:r>
        <w:rPr>
          <w:bCs/>
          <w:b/>
        </w:rPr>
        <w:t xml:space="preserve">Service Period:</w:t>
      </w:r>
      <w:r>
        <w:t xml:space="preserve"> </w:t>
      </w:r>
      <w:r>
        <w:t xml:space="preserve">July 1, 2025 – December 31, 2025</w:t>
      </w:r>
    </w:p>
    <w:p>
      <w:pPr>
        <w:pStyle w:val="BodyText"/>
      </w:pPr>
      <w:r>
        <w:rPr>
          <w:bCs/>
          <w:b/>
        </w:rPr>
        <w:t xml:space="preserve">Currency:</w:t>
      </w:r>
      <w:r>
        <w:t xml:space="preserve"> </w:t>
      </w:r>
      <w:r>
        <w:t xml:space="preserve">United States Dollars (USD)</w:t>
      </w:r>
    </w:p>
    <w:bookmarkStart w:id="23" w:name="X0c7581080508d578c26b6d8dfd726c7e3ca5cc9"/>
    <w:p>
      <w:pPr>
        <w:pStyle w:val="Heading2"/>
      </w:pPr>
      <w:r>
        <w:t xml:space="preserve">1. Purpose and Scope of This Quotation Estimate</w:t>
      </w:r>
    </w:p>
    <w:p>
      <w:pPr>
        <w:pStyle w:val="FirstParagraph"/>
      </w:pPr>
      <w:r>
        <w:t xml:space="preserve">This Quotation Estimate is issued by Dr. Margaret L. Whitfield, a licensed Doctor General Practitioner operating in Houston, Texas, United States, to provide a comprehensive and itemized cost projection for the delivery of primary care medical services to Bayou City Health Partners, LLC. This document serves as a formal Quotation Estimate outlining the anticipated fees, service deliverables, and contractual terms associated with the engagement of a Doctor General Practitioner for a six-month service period. All pricing reflected in this Quotation Estimate is based on current market rates for a Doctor General Practitioner in the United States Houston metropolitan area and is subject to the terms and conditions detailed herein.</w:t>
      </w:r>
    </w:p>
    <w:bookmarkEnd w:id="23"/>
    <w:bookmarkStart w:id="24" w:name="itemized-services-and-pricing"/>
    <w:p>
      <w:pPr>
        <w:pStyle w:val="Heading2"/>
      </w:pPr>
      <w:r>
        <w:t xml:space="preserve">2. Itemized Services and Pricing</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Frequency</w:t>
            </w:r>
          </w:p>
        </w:tc>
        <w:tc>
          <w:tcPr/>
          <w:p>
            <w:pPr>
              <w:pStyle w:val="Compact"/>
              <w:jc w:val="left"/>
            </w:pPr>
            <w:r>
              <w:t xml:space="preserve">Unit Rate (USD)</w:t>
            </w:r>
          </w:p>
        </w:tc>
        <w:tc>
          <w:tcPr/>
          <w:p>
            <w:pPr>
              <w:pStyle w:val="Compact"/>
              <w:jc w:val="left"/>
            </w:pPr>
            <w:r>
              <w:t xml:space="preserve">Quantity</w:t>
            </w:r>
          </w:p>
        </w:tc>
        <w:tc>
          <w:tcPr/>
          <w:p>
            <w:pPr>
              <w:pStyle w:val="Compact"/>
              <w:jc w:val="left"/>
            </w:pPr>
            <w:r>
              <w:t xml:space="preserve">Subtotal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Comprehensive Annual Physical Examination (Adult, 18–65)</w:t>
            </w:r>
          </w:p>
        </w:tc>
        <w:tc>
          <w:tcPr/>
          <w:p>
            <w:pPr>
              <w:pStyle w:val="Compact"/>
              <w:jc w:val="left"/>
            </w:pPr>
            <w:r>
              <w:t xml:space="preserve">Per patient</w:t>
            </w:r>
          </w:p>
        </w:tc>
        <w:tc>
          <w:tcPr/>
          <w:p>
            <w:pPr>
              <w:pStyle w:val="Compact"/>
              <w:jc w:val="left"/>
            </w:pPr>
            <w:r>
              <w:t xml:space="preserve">$285.00</w:t>
            </w:r>
          </w:p>
        </w:tc>
        <w:tc>
          <w:tcPr/>
          <w:p>
            <w:pPr>
              <w:pStyle w:val="Compact"/>
              <w:jc w:val="left"/>
            </w:pPr>
            <w:r>
              <w:t xml:space="preserve">120</w:t>
            </w:r>
          </w:p>
        </w:tc>
        <w:tc>
          <w:tcPr/>
          <w:p>
            <w:pPr>
              <w:pStyle w:val="Compact"/>
              <w:jc w:val="left"/>
            </w:pPr>
            <w:r>
              <w:t xml:space="preserve">$34,200.00</w:t>
            </w:r>
          </w:p>
        </w:tc>
        <w:tc>
          <w:tcPr/>
          <w:p>
            <w:pPr>
              <w:pStyle w:val="Compact"/>
              <w:jc w:val="left"/>
            </w:pPr>
            <w:r>
              <w:t xml:space="preserve">Includes vitals, labs</w:t>
            </w:r>
          </w:p>
        </w:tc>
      </w:tr>
      <w:tr>
        <w:tc>
          <w:tcPr/>
          <w:p>
            <w:pPr>
              <w:pStyle w:val="Compact"/>
              <w:jc w:val="left"/>
            </w:pPr>
            <w:r>
              <w:t xml:space="preserve">2</w:t>
            </w:r>
          </w:p>
        </w:tc>
        <w:tc>
          <w:tcPr/>
          <w:p>
            <w:pPr>
              <w:pStyle w:val="Compact"/>
              <w:jc w:val="left"/>
            </w:pPr>
            <w:r>
              <w:t xml:space="preserve">Office Visit — Established Patient (15–30 min consultation)</w:t>
            </w:r>
          </w:p>
        </w:tc>
        <w:tc>
          <w:tcPr/>
          <w:p>
            <w:pPr>
              <w:pStyle w:val="Compact"/>
              <w:jc w:val="left"/>
            </w:pPr>
            <w:r>
              <w:t xml:space="preserve">Per visit</w:t>
            </w:r>
          </w:p>
        </w:tc>
        <w:tc>
          <w:tcPr/>
          <w:p>
            <w:pPr>
              <w:pStyle w:val="Compact"/>
              <w:jc w:val="left"/>
            </w:pPr>
            <w:r>
              <w:t xml:space="preserve">$175.00</w:t>
            </w:r>
          </w:p>
        </w:tc>
        <w:tc>
          <w:tcPr/>
          <w:p>
            <w:pPr>
              <w:pStyle w:val="Compact"/>
              <w:jc w:val="left"/>
            </w:pPr>
            <w:r>
              <w:t xml:space="preserve">480</w:t>
            </w:r>
          </w:p>
        </w:tc>
        <w:tc>
          <w:tcPr/>
          <w:p>
            <w:pPr>
              <w:pStyle w:val="Compact"/>
              <w:jc w:val="left"/>
            </w:pPr>
            <w:r>
              <w:t xml:space="preserve">$84,000.00</w:t>
            </w:r>
          </w:p>
        </w:tc>
        <w:tc>
          <w:tcPr/>
          <w:p>
            <w:pPr>
              <w:pStyle w:val="Compact"/>
              <w:jc w:val="left"/>
            </w:pPr>
            <w:r>
              <w:t xml:space="preserve">Follow-up &amp; chronic mgmt</w:t>
            </w:r>
          </w:p>
        </w:tc>
      </w:tr>
      <w:tr>
        <w:tc>
          <w:tcPr/>
          <w:p>
            <w:pPr>
              <w:pStyle w:val="Compact"/>
              <w:jc w:val="left"/>
            </w:pPr>
            <w:r>
              <w:t xml:space="preserve">3</w:t>
            </w:r>
          </w:p>
        </w:tc>
        <w:tc>
          <w:tcPr/>
          <w:p>
            <w:pPr>
              <w:pStyle w:val="Compact"/>
              <w:jc w:val="left"/>
            </w:pPr>
            <w:r>
              <w:t xml:space="preserve">Office Visit — New Patient (30–45 min initial consultation)</w:t>
            </w:r>
          </w:p>
        </w:tc>
        <w:tc>
          <w:tcPr/>
          <w:p>
            <w:pPr>
              <w:pStyle w:val="Compact"/>
              <w:jc w:val="left"/>
            </w:pPr>
            <w:r>
              <w:t xml:space="preserve">Per visit</w:t>
            </w:r>
          </w:p>
        </w:tc>
        <w:tc>
          <w:tcPr/>
          <w:p>
            <w:pPr>
              <w:pStyle w:val="Compact"/>
              <w:jc w:val="left"/>
            </w:pPr>
            <w:r>
              <w:t xml:space="preserve">$245.00</w:t>
            </w:r>
          </w:p>
        </w:tc>
        <w:tc>
          <w:tcPr/>
          <w:p>
            <w:pPr>
              <w:pStyle w:val="Compact"/>
              <w:jc w:val="left"/>
            </w:pPr>
            <w:r>
              <w:t xml:space="preserve">96</w:t>
            </w:r>
          </w:p>
        </w:tc>
        <w:tc>
          <w:tcPr/>
          <w:p>
            <w:pPr>
              <w:pStyle w:val="Compact"/>
              <w:jc w:val="left"/>
            </w:pPr>
            <w:r>
              <w:t xml:space="preserve">$23,520.00</w:t>
            </w:r>
          </w:p>
        </w:tc>
        <w:tc>
          <w:tcPr/>
          <w:p>
            <w:pPr>
              <w:pStyle w:val="Compact"/>
              <w:jc w:val="left"/>
            </w:pPr>
            <w:r>
              <w:t xml:space="preserve">Full history &amp; exam</w:t>
            </w:r>
          </w:p>
        </w:tc>
      </w:tr>
      <w:tr>
        <w:tc>
          <w:tcPr/>
          <w:p>
            <w:pPr>
              <w:pStyle w:val="Compact"/>
              <w:jc w:val="left"/>
            </w:pPr>
            <w:r>
              <w:t xml:space="preserve">4</w:t>
            </w:r>
          </w:p>
        </w:tc>
        <w:tc>
          <w:tcPr/>
          <w:p>
            <w:pPr>
              <w:pStyle w:val="Compact"/>
              <w:jc w:val="left"/>
            </w:pPr>
            <w:r>
              <w:t xml:space="preserve">Point-of-Care Diagnostic Testing (CBC, BMP, Lipid Panel, A1C)</w:t>
            </w:r>
          </w:p>
        </w:tc>
        <w:tc>
          <w:tcPr/>
          <w:p>
            <w:pPr>
              <w:pStyle w:val="Compact"/>
              <w:jc w:val="left"/>
            </w:pPr>
            <w:r>
              <w:t xml:space="preserve">Per panel</w:t>
            </w:r>
          </w:p>
        </w:tc>
        <w:tc>
          <w:tcPr/>
          <w:p>
            <w:pPr>
              <w:pStyle w:val="Compact"/>
              <w:jc w:val="left"/>
            </w:pPr>
            <w:r>
              <w:t xml:space="preserve">$95.00</w:t>
            </w:r>
          </w:p>
        </w:tc>
        <w:tc>
          <w:tcPr/>
          <w:p>
            <w:pPr>
              <w:pStyle w:val="Compact"/>
              <w:jc w:val="left"/>
            </w:pPr>
            <w:r>
              <w:t xml:space="preserve">360</w:t>
            </w:r>
          </w:p>
        </w:tc>
        <w:tc>
          <w:tcPr/>
          <w:p>
            <w:pPr>
              <w:pStyle w:val="Compact"/>
              <w:jc w:val="left"/>
            </w:pPr>
            <w:r>
              <w:t xml:space="preserve">$34,200.00</w:t>
            </w:r>
          </w:p>
        </w:tc>
        <w:tc>
          <w:tcPr/>
          <w:p>
            <w:pPr>
              <w:pStyle w:val="Compact"/>
              <w:jc w:val="left"/>
            </w:pPr>
            <w:r>
              <w:t xml:space="preserve">On-site lab processing</w:t>
            </w:r>
          </w:p>
        </w:tc>
      </w:tr>
      <w:tr>
        <w:tc>
          <w:tcPr/>
          <w:p>
            <w:pPr>
              <w:pStyle w:val="Compact"/>
              <w:jc w:val="left"/>
            </w:pPr>
            <w:r>
              <w:t xml:space="preserve">5</w:t>
            </w:r>
          </w:p>
        </w:tc>
        <w:tc>
          <w:tcPr/>
          <w:p>
            <w:pPr>
              <w:pStyle w:val="Compact"/>
              <w:jc w:val="left"/>
            </w:pPr>
            <w:r>
              <w:t xml:space="preserve">Preventive Health Counseling &amp; Lifestyle Modification Program</w:t>
            </w:r>
          </w:p>
        </w:tc>
        <w:tc>
          <w:tcPr/>
          <w:p>
            <w:pPr>
              <w:pStyle w:val="Compact"/>
              <w:jc w:val="left"/>
            </w:pPr>
            <w:r>
              <w:t xml:space="preserve">Per session</w:t>
            </w:r>
          </w:p>
        </w:tc>
        <w:tc>
          <w:tcPr/>
          <w:p>
            <w:pPr>
              <w:pStyle w:val="Compact"/>
              <w:jc w:val="left"/>
            </w:pPr>
            <w:r>
              <w:t xml:space="preserve">$120.00</w:t>
            </w:r>
          </w:p>
        </w:tc>
        <w:tc>
          <w:tcPr/>
          <w:p>
            <w:pPr>
              <w:pStyle w:val="Compact"/>
              <w:jc w:val="left"/>
            </w:pPr>
            <w:r>
              <w:t xml:space="preserve">240</w:t>
            </w:r>
          </w:p>
        </w:tc>
        <w:tc>
          <w:tcPr/>
          <w:p>
            <w:pPr>
              <w:pStyle w:val="Compact"/>
              <w:jc w:val="left"/>
            </w:pPr>
            <w:r>
              <w:t xml:space="preserve">$28,800.00</w:t>
            </w:r>
          </w:p>
        </w:tc>
        <w:tc>
          <w:tcPr/>
          <w:p>
            <w:pPr>
              <w:pStyle w:val="Compact"/>
              <w:jc w:val="left"/>
            </w:pPr>
            <w:r>
              <w:t xml:space="preserve">Nutrition, exercise, smoking</w:t>
            </w:r>
          </w:p>
        </w:tc>
      </w:tr>
      <w:tr>
        <w:tc>
          <w:tcPr/>
          <w:p>
            <w:pPr>
              <w:pStyle w:val="Compact"/>
              <w:jc w:val="left"/>
            </w:pPr>
            <w:r>
              <w:t xml:space="preserve">6</w:t>
            </w:r>
          </w:p>
        </w:tc>
        <w:tc>
          <w:tcPr/>
          <w:p>
            <w:pPr>
              <w:pStyle w:val="Compact"/>
              <w:jc w:val="left"/>
            </w:pPr>
            <w:r>
              <w:t xml:space="preserve">Immunization Administration (Influenza, Tdap, Pneumococcal)</w:t>
            </w:r>
          </w:p>
        </w:tc>
        <w:tc>
          <w:tcPr/>
          <w:p>
            <w:pPr>
              <w:pStyle w:val="Compact"/>
              <w:jc w:val="left"/>
            </w:pPr>
            <w:r>
              <w:t xml:space="preserve">Per dose</w:t>
            </w:r>
          </w:p>
        </w:tc>
        <w:tc>
          <w:tcPr/>
          <w:p>
            <w:pPr>
              <w:pStyle w:val="Compact"/>
              <w:jc w:val="left"/>
            </w:pPr>
            <w:r>
              <w:t xml:space="preserve">$65.00</w:t>
            </w:r>
          </w:p>
        </w:tc>
        <w:tc>
          <w:tcPr/>
          <w:p>
            <w:pPr>
              <w:pStyle w:val="Compact"/>
              <w:jc w:val="left"/>
            </w:pPr>
            <w:r>
              <w:t xml:space="preserve">300</w:t>
            </w:r>
          </w:p>
        </w:tc>
        <w:tc>
          <w:tcPr/>
          <w:p>
            <w:pPr>
              <w:pStyle w:val="Compact"/>
              <w:jc w:val="left"/>
            </w:pPr>
            <w:r>
              <w:t xml:space="preserve">$19,500.00</w:t>
            </w:r>
          </w:p>
        </w:tc>
        <w:tc>
          <w:tcPr/>
          <w:p>
            <w:pPr>
              <w:pStyle w:val="Compact"/>
              <w:jc w:val="left"/>
            </w:pPr>
            <w:r>
              <w:t xml:space="preserve">Includes vaccine cost</w:t>
            </w:r>
          </w:p>
        </w:tc>
      </w:tr>
      <w:tr>
        <w:tc>
          <w:tcPr/>
          <w:p>
            <w:pPr>
              <w:pStyle w:val="Compact"/>
              <w:jc w:val="left"/>
            </w:pPr>
            <w:r>
              <w:t xml:space="preserve">7</w:t>
            </w:r>
          </w:p>
        </w:tc>
        <w:tc>
          <w:tcPr/>
          <w:p>
            <w:pPr>
              <w:pStyle w:val="Compact"/>
              <w:jc w:val="left"/>
            </w:pPr>
            <w:r>
              <w:t xml:space="preserve">Telemedicine Consultation (Video, 20 min)</w:t>
            </w:r>
          </w:p>
        </w:tc>
        <w:tc>
          <w:tcPr/>
          <w:p>
            <w:pPr>
              <w:pStyle w:val="Compact"/>
              <w:jc w:val="left"/>
            </w:pPr>
            <w:r>
              <w:t xml:space="preserve">Per session</w:t>
            </w:r>
          </w:p>
        </w:tc>
        <w:tc>
          <w:tcPr/>
          <w:p>
            <w:pPr>
              <w:pStyle w:val="Compact"/>
              <w:jc w:val="left"/>
            </w:pPr>
            <w:r>
              <w:t xml:space="preserve">$110.00</w:t>
            </w:r>
          </w:p>
        </w:tc>
        <w:tc>
          <w:tcPr/>
          <w:p>
            <w:pPr>
              <w:pStyle w:val="Compact"/>
              <w:jc w:val="left"/>
            </w:pPr>
            <w:r>
              <w:t xml:space="preserve">180</w:t>
            </w:r>
          </w:p>
        </w:tc>
        <w:tc>
          <w:tcPr/>
          <w:p>
            <w:pPr>
              <w:pStyle w:val="Compact"/>
              <w:jc w:val="left"/>
            </w:pPr>
            <w:r>
              <w:t xml:space="preserve">$19,800.00</w:t>
            </w:r>
          </w:p>
        </w:tc>
        <w:tc>
          <w:tcPr/>
          <w:p>
            <w:pPr>
              <w:pStyle w:val="Compact"/>
              <w:jc w:val="left"/>
            </w:pPr>
            <w:r>
              <w:t xml:space="preserve">HIPAA-compliant platform</w:t>
            </w:r>
          </w:p>
        </w:tc>
      </w:tr>
      <w:tr>
        <w:tc>
          <w:tcPr/>
          <w:p>
            <w:pPr>
              <w:pStyle w:val="Compact"/>
              <w:jc w:val="left"/>
            </w:pPr>
            <w:r>
              <w:t xml:space="preserve">8</w:t>
            </w:r>
          </w:p>
        </w:tc>
        <w:tc>
          <w:tcPr/>
          <w:p>
            <w:pPr>
              <w:pStyle w:val="Compact"/>
              <w:jc w:val="left"/>
            </w:pPr>
            <w:r>
              <w:t xml:space="preserve">Medical Records Management &amp; Referral Coordination</w:t>
            </w:r>
          </w:p>
        </w:tc>
        <w:tc>
          <w:tcPr/>
          <w:p>
            <w:pPr>
              <w:pStyle w:val="Compact"/>
              <w:jc w:val="left"/>
            </w:pPr>
            <w:r>
              <w:t xml:space="preserve">Monthly</w:t>
            </w:r>
          </w:p>
        </w:tc>
        <w:tc>
          <w:tcPr/>
          <w:p>
            <w:pPr>
              <w:pStyle w:val="Compact"/>
              <w:jc w:val="left"/>
            </w:pPr>
            <w:r>
              <w:t xml:space="preserve">$1,200.00</w:t>
            </w:r>
          </w:p>
        </w:tc>
        <w:tc>
          <w:tcPr/>
          <w:p>
            <w:pPr>
              <w:pStyle w:val="Compact"/>
              <w:jc w:val="left"/>
            </w:pPr>
            <w:r>
              <w:t xml:space="preserve">6</w:t>
            </w:r>
          </w:p>
        </w:tc>
        <w:tc>
          <w:tcPr/>
          <w:p>
            <w:pPr>
              <w:pStyle w:val="Compact"/>
              <w:jc w:val="left"/>
            </w:pPr>
            <w:r>
              <w:t xml:space="preserve">$7,200.00</w:t>
            </w:r>
          </w:p>
        </w:tc>
        <w:tc>
          <w:tcPr/>
          <w:p>
            <w:pPr>
              <w:pStyle w:val="Compact"/>
              <w:jc w:val="left"/>
            </w:pPr>
            <w:r>
              <w:t xml:space="preserve">EHR integration, referrals</w:t>
            </w:r>
          </w:p>
        </w:tc>
      </w:tr>
      <w:tr>
        <w:tc>
          <w:tcPr/>
          <w:p>
            <w:pPr>
              <w:pStyle w:val="Compact"/>
              <w:jc w:val="left"/>
            </w:pPr>
            <w:r>
              <w:t xml:space="preserve">9</w:t>
            </w:r>
          </w:p>
        </w:tc>
        <w:tc>
          <w:tcPr/>
          <w:p>
            <w:pPr>
              <w:pStyle w:val="Compact"/>
              <w:jc w:val="left"/>
            </w:pPr>
            <w:r>
              <w:t xml:space="preserve">After-Hours On-Call Availability (Houston, TX coverage)</w:t>
            </w:r>
          </w:p>
        </w:tc>
        <w:tc>
          <w:tcPr/>
          <w:p>
            <w:pPr>
              <w:pStyle w:val="Compact"/>
              <w:jc w:val="left"/>
            </w:pPr>
            <w:r>
              <w:t xml:space="preserve">Monthly</w:t>
            </w:r>
          </w:p>
        </w:tc>
        <w:tc>
          <w:tcPr/>
          <w:p>
            <w:pPr>
              <w:pStyle w:val="Compact"/>
              <w:jc w:val="left"/>
            </w:pPr>
            <w:r>
              <w:t xml:space="preserve">$850.00</w:t>
            </w:r>
          </w:p>
        </w:tc>
        <w:tc>
          <w:tcPr/>
          <w:p>
            <w:pPr>
              <w:pStyle w:val="Compact"/>
              <w:jc w:val="left"/>
            </w:pPr>
            <w:r>
              <w:t xml:space="preserve">6</w:t>
            </w:r>
          </w:p>
        </w:tc>
        <w:tc>
          <w:tcPr/>
          <w:p>
            <w:pPr>
              <w:pStyle w:val="Compact"/>
              <w:jc w:val="left"/>
            </w:pPr>
            <w:r>
              <w:t xml:space="preserve">$5,100.00</w:t>
            </w:r>
          </w:p>
        </w:tc>
        <w:tc>
          <w:tcPr/>
          <w:p>
            <w:pPr>
              <w:pStyle w:val="Compact"/>
              <w:jc w:val="left"/>
            </w:pPr>
            <w:r>
              <w:t xml:space="preserve">Emergency triage support</w:t>
            </w:r>
          </w:p>
        </w:tc>
      </w:tr>
      <w:tr>
        <w:tc>
          <w:tcPr>
            <w:gridSpan w:val="5"/>
          </w:tcPr>
          <w:p>
            <w:pPr>
              <w:pStyle w:val="Compact"/>
              <w:jc w:val="left"/>
            </w:pPr>
            <w:r>
              <w:t xml:space="preserve">TOTAL ESTIMATED COST (SIX-MONTH PERIOD)</w:t>
            </w:r>
          </w:p>
        </w:tc>
        <w:tc>
          <w:tcPr/>
          <w:p>
            <w:pPr>
              <w:pStyle w:val="Compact"/>
              <w:jc w:val="left"/>
            </w:pPr>
            <w:r>
              <w:t xml:space="preserve">$256,320.00</w:t>
            </w:r>
          </w:p>
        </w:tc>
        <w:tc>
          <w:tcPr/>
          <w:p>
            <w:pPr>
              <w:pStyle w:val="Compact"/>
            </w:pPr>
          </w:p>
        </w:tc>
      </w:tr>
    </w:tbl>
    <w:bookmarkEnd w:id="24"/>
    <w:bookmarkStart w:id="25" w:name="terms-and-conditions"/>
    <w:p>
      <w:pPr>
        <w:pStyle w:val="Heading2"/>
      </w:pPr>
      <w:r>
        <w:t xml:space="preserve">3. Terms and Conditions</w:t>
      </w:r>
    </w:p>
    <w:p>
      <w:pPr>
        <w:pStyle w:val="FirstParagraph"/>
      </w:pPr>
      <w:r>
        <w:rPr>
          <w:bCs/>
          <w:b/>
        </w:rPr>
        <w:t xml:space="preserve">3.1 Validity:</w:t>
      </w:r>
      <w:r>
        <w:t xml:space="preserve"> </w:t>
      </w:r>
      <w:r>
        <w:t xml:space="preserve">This Quotation Estimate shall remain valid for a period of thirty (30) calendar days from the date of issue. Should the client wish to proceed beyond the stated validity window, a revised Quotation Estimate reflecting any updated fee schedules for a Doctor General Practitioner in the United States Houston area will be required.</w:t>
      </w:r>
    </w:p>
    <w:p>
      <w:pPr>
        <w:pStyle w:val="BodyText"/>
      </w:pPr>
      <w:r>
        <w:rPr>
          <w:bCs/>
          <w:b/>
        </w:rPr>
        <w:t xml:space="preserve">3.2 Payment Terms:</w:t>
      </w:r>
      <w:r>
        <w:t xml:space="preserve"> </w:t>
      </w:r>
      <w:r>
        <w:t xml:space="preserve">Invoicing shall be conducted on a monthly basis, with payment due within thirty (30) days of invoice receipt. A late payment surcharge of 1.5% per month will apply to outstanding balances. All payments are to be made in United States Dollars via ACH transfer, certified check, or corporate credit card.</w:t>
      </w:r>
    </w:p>
    <w:p>
      <w:pPr>
        <w:pStyle w:val="BodyText"/>
      </w:pPr>
      <w:r>
        <w:rPr>
          <w:bCs/>
          <w:b/>
        </w:rPr>
        <w:t xml:space="preserve">3.3 Scope Limitations:</w:t>
      </w:r>
      <w:r>
        <w:t xml:space="preserve"> </w:t>
      </w:r>
      <w:r>
        <w:t xml:space="preserve">This Quotation Estimate covers outpatient primary care services delivered by the Doctor General Practitioner at the designated Houston, Texas clinic location and via approved telemedicine channels. It does not include inpatient hospitalization, surgical procedures, specialized subspecialty referrals, or emergency department services. Any services outside the defined scope will be billed separately at prevailing rates.</w:t>
      </w:r>
    </w:p>
    <w:p>
      <w:pPr>
        <w:pStyle w:val="BodyText"/>
      </w:pPr>
      <w:r>
        <w:rPr>
          <w:bCs/>
          <w:b/>
        </w:rPr>
        <w:t xml:space="preserve">3.4 Insurance and Billing:</w:t>
      </w:r>
      <w:r>
        <w:t xml:space="preserve"> </w:t>
      </w:r>
      <w:r>
        <w:t xml:space="preserve">The Doctor General Practitioner accepts major commercial insurance plans, Medicare, and Medicaid as administered in the United States Houston region. The client is responsible for any co-pays, deductibles, or non-covered charges as determined by the applicable insurance carrier. The provider will submit all claims electronically through the Texas Health and Human Services (HHSC) portal where applicable.</w:t>
      </w:r>
    </w:p>
    <w:p>
      <w:pPr>
        <w:pStyle w:val="BodyText"/>
      </w:pPr>
      <w:r>
        <w:rPr>
          <w:bCs/>
          <w:b/>
        </w:rPr>
        <w:t xml:space="preserve">3.5 Cancellation and Termination:</w:t>
      </w:r>
      <w:r>
        <w:t xml:space="preserve"> </w:t>
      </w:r>
      <w:r>
        <w:t xml:space="preserve">Either party may terminate the service agreement with thirty (30) days written notice. In the event of early termination, the client shall be liable for all services rendered up to the termination date. No refund will be issued for prepaid monthly fees covering the notice period.</w:t>
      </w:r>
    </w:p>
    <w:p>
      <w:pPr>
        <w:pStyle w:val="BodyText"/>
      </w:pPr>
      <w:r>
        <w:rPr>
          <w:bCs/>
          <w:b/>
        </w:rPr>
        <w:t xml:space="preserve">3.6 Confidentiality and Compliance:</w:t>
      </w:r>
      <w:r>
        <w:t xml:space="preserve"> </w:t>
      </w:r>
      <w:r>
        <w:t xml:space="preserve">All patient information shall be handled in strict accordance with the Health Insurance Portability and Accountability Act (HIPAA), the Texas Medical Practice Act, and all applicable United States federal and state regulations. The Doctor General Practitioner and all associated staff are bound by non-disclosure agreements.</w:t>
      </w:r>
    </w:p>
    <w:p>
      <w:pPr>
        <w:pStyle w:val="BodyText"/>
      </w:pPr>
      <w:r>
        <w:rPr>
          <w:bCs/>
          <w:b/>
        </w:rPr>
        <w:t xml:space="preserve">3.7 Liability and Indemnification:</w:t>
      </w:r>
      <w:r>
        <w:t xml:space="preserve"> </w:t>
      </w:r>
      <w:r>
        <w:t xml:space="preserve">The provider maintains professional medical malpractice insurance with a minimum coverage of $2,000,000 per occurrence and $6,000,000 in aggregate, as required for a Doctor General Practitioner practicing in the state of Texas. The client agrees to indemnify the provider against claims arising from the client's own operational negligence.</w:t>
      </w:r>
    </w:p>
    <w:p>
      <w:pPr>
        <w:pStyle w:val="BodyText"/>
      </w:pPr>
      <w:r>
        <w:rPr>
          <w:bCs/>
          <w:b/>
        </w:rPr>
        <w:t xml:space="preserve">3.8 Governing Law:</w:t>
      </w:r>
      <w:r>
        <w:t xml:space="preserve"> </w:t>
      </w:r>
      <w:r>
        <w:t xml:space="preserve">This Quotation Estimate and any resulting service agreement shall be governed by and construed in accordance with the laws of the State of Texas, United States. Any disputes shall be resolved through binding arbitration in Harris County, Houston, Texas, in accordance with the rules of the American Arbitration Association.</w:t>
      </w:r>
    </w:p>
    <w:bookmarkEnd w:id="25"/>
    <w:bookmarkStart w:id="26" w:name="acceptance-and-authorization"/>
    <w:p>
      <w:pPr>
        <w:pStyle w:val="Heading2"/>
      </w:pPr>
      <w:r>
        <w:t xml:space="preserve">4. Acceptance and Authorization</w:t>
      </w:r>
    </w:p>
    <w:p>
      <w:pPr>
        <w:pStyle w:val="FirstParagraph"/>
      </w:pPr>
      <w:r>
        <w:t xml:space="preserve">By signing below, the client acknowledges receipt of this Quotation Estimate and agrees to the terms, conditions, and pricing outlined herein for the engagement of the Doctor General Practitioner for the specified service period in the United States Houston area. This signature constitutes a binding acceptance of the Quotation Estimate and authorizes the provider to commence services on the agreed-upon start date.</w:t>
      </w:r>
    </w:p>
    <w:p>
      <w:pPr>
        <w:pStyle w:val="BodyText"/>
      </w:pPr>
      <w:r>
        <w:rPr>
          <w:bCs/>
          <w:b/>
        </w:rPr>
        <w:t xml:space="preserve">Provider:</w:t>
      </w:r>
      <w:r>
        <w:t xml:space="preserve"> </w:t>
      </w:r>
      <w:r>
        <w:t xml:space="preserve">Dr. Margaret L. Whitfield, MD</w:t>
      </w:r>
    </w:p>
    <w:p>
      <w:pPr>
        <w:pStyle w:val="BodyText"/>
      </w:pPr>
      <w:r>
        <w:t xml:space="preserve">Doctor General Practitioner</w:t>
      </w:r>
    </w:p>
    <w:p>
      <w:pPr>
        <w:pStyle w:val="BodyText"/>
      </w:pPr>
      <w:r>
        <w:t xml:space="preserve">Date: ______________________</w:t>
      </w:r>
    </w:p>
    <w:p>
      <w:pPr>
        <w:pStyle w:val="BodyText"/>
      </w:pPr>
      <w:r>
        <w:rPr>
          <w:bCs/>
          <w:b/>
        </w:rPr>
        <w:t xml:space="preserve">Client:</w:t>
      </w:r>
      <w:r>
        <w:t xml:space="preserve"> </w:t>
      </w:r>
      <w:r>
        <w:t xml:space="preserve">David R. Calloway</w:t>
      </w:r>
    </w:p>
    <w:p>
      <w:pPr>
        <w:pStyle w:val="BodyText"/>
      </w:pPr>
      <w:r>
        <w:t xml:space="preserve">Director of Operations, Bayou City Health Partners, LLC</w:t>
      </w:r>
    </w:p>
    <w:p>
      <w:pPr>
        <w:pStyle w:val="BodyText"/>
      </w:pPr>
      <w:r>
        <w:t xml:space="preserve">Date: ______________________</w:t>
      </w:r>
    </w:p>
    <w:p>
      <w:pPr>
        <w:pStyle w:val="BodyText"/>
      </w:pPr>
      <w:r>
        <w:rPr>
          <w:bCs/>
          <w:b/>
        </w:rPr>
        <w:t xml:space="preserve">Important Notice:</w:t>
      </w:r>
      <w:r>
        <w:t xml:space="preserve"> </w:t>
      </w:r>
      <w:r>
        <w:t xml:space="preserve">This Quotation Estimate is a good-faith projection of anticipated costs and does not constitute a fixed-price contract. Actual charges may vary based on the complexity of individual patient encounters, changes in diagnostic testing requirements, or modifications to the scope of services agreed upon by both parties. All fees are subject to annual review and adjustment in accordance with the Texas Medical Board fee guidelines for a Doctor General Practitioner in the United States Houston metropolitan area. This document is confidential and intended solely for the named recipient.</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Doctor General Practitioner - United States Houston</dc:title>
  <dc:creator/>
  <dc:language>en</dc:language>
  <cp:keywords/>
  <dcterms:created xsi:type="dcterms:W3CDTF">2026-10-10T10:21:10Z</dcterms:created>
  <dcterms:modified xsi:type="dcterms:W3CDTF">2026-10-10T10:21:10Z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