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Doctor General Practitioner Services</w:t>
      </w:r>
    </w:p>
    <w:p>
      <w:pPr>
        <w:pStyle w:val="BodyText"/>
      </w:pPr>
      <w:r>
        <w:t xml:space="preserve">Tashkent, Uzbekistan</w:t>
      </w:r>
    </w:p>
    <w:bookmarkEnd w:id="20"/>
    <w:p>
      <w:pPr>
        <w:pStyle w:val="BodyText"/>
      </w:pPr>
      <w:r>
        <w:rPr>
          <w:bCs/>
          <w:b/>
        </w:rPr>
        <w:t xml:space="preserve">Quotation No.:</w:t>
      </w:r>
      <w:r>
        <w:t xml:space="preserve"> </w:t>
      </w:r>
      <w:r>
        <w:t xml:space="preserve">QTE-TKT-2025-04782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Medical Services Division</w:t>
      </w:r>
      <w:r>
        <w:br/>
      </w:r>
      <w:r>
        <w:rPr>
          <w:bCs/>
          <w:b/>
        </w:rPr>
        <w:t xml:space="preserve">Location:</w:t>
      </w:r>
      <w:r>
        <w:t xml:space="preserve"> </w:t>
      </w:r>
      <w:r>
        <w:t xml:space="preserve">Tashkent, Uzbekistan</w:t>
      </w:r>
      <w:r>
        <w:br/>
      </w:r>
      <w:r>
        <w:rPr>
          <w:bCs/>
          <w:b/>
        </w:rPr>
        <w:t xml:space="preserve">Reference:</w:t>
      </w:r>
      <w:r>
        <w:t xml:space="preserve"> </w:t>
      </w:r>
      <w:r>
        <w:t xml:space="preserve">GP-UZB-2025</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____________________________</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Tashkent, Uzbekistan</w:t>
            </w:r>
          </w:p>
        </w:tc>
      </w:tr>
      <w:tr>
        <w:tc>
          <w:tcPr/>
          <w:p>
            <w:pPr>
              <w:pStyle w:val="Compact"/>
              <w:jc w:val="left"/>
            </w:pPr>
            <w:r>
              <w:t xml:space="preserve">Phone / Email</w:t>
            </w:r>
          </w:p>
        </w:tc>
        <w:tc>
          <w:tcPr/>
          <w:p>
            <w:pPr>
              <w:pStyle w:val="Compact"/>
              <w:jc w:val="left"/>
            </w:pPr>
            <w:r>
              <w:t xml:space="preserve">____________________________</w:t>
            </w:r>
          </w:p>
        </w:tc>
      </w:tr>
      <w:tr>
        <w:tc>
          <w:tcPr/>
          <w:p>
            <w:pPr>
              <w:pStyle w:val="Compact"/>
              <w:jc w:val="left"/>
            </w:pPr>
            <w:r>
              <w:t xml:space="preserve">Service Location</w:t>
            </w:r>
          </w:p>
        </w:tc>
        <w:tc>
          <w:tcPr/>
          <w:p>
            <w:pPr>
              <w:pStyle w:val="Compact"/>
              <w:jc w:val="left"/>
            </w:pPr>
            <w:r>
              <w:t xml:space="preserve">Designated clinic or on-site within Tashkent, Uzbekistan</w:t>
            </w:r>
          </w:p>
        </w:tc>
      </w:tr>
    </w:tbl>
    <w:bookmarkEnd w:id="21"/>
    <w:bookmarkStart w:id="22" w:name="Xb941ec033c1afb0dbd940086c72cd4891a4c725"/>
    <w:p>
      <w:pPr>
        <w:pStyle w:val="Heading2"/>
      </w:pPr>
      <w:r>
        <w:t xml:space="preserve">2. Scope of Services – Doctor General Practitioner</w:t>
      </w:r>
    </w:p>
    <w:p>
      <w:pPr>
        <w:pStyle w:val="FirstParagraph"/>
      </w:pPr>
      <w:r>
        <w:t xml:space="preserve">This Quotation Estimate is issued for the provision of comprehensive</w:t>
      </w:r>
      <w:r>
        <w:t xml:space="preserve"> </w:t>
      </w:r>
      <w:r>
        <w:t xml:space="preserve">Doctor General Practitioner</w:t>
      </w:r>
      <w:r>
        <w:t xml:space="preserve"> </w:t>
      </w:r>
      <w:r>
        <w:t xml:space="preserve">services to be delivered in</w:t>
      </w:r>
      <w:r>
        <w:t xml:space="preserve"> </w:t>
      </w:r>
      <w:r>
        <w:t xml:space="preserve">Uzbekistan Tashkent</w:t>
      </w:r>
      <w:r>
        <w:t xml:space="preserve">. The Doctor General Practitioner will serve as the primary point of medical contact for the client's personnel, providing preventive care, diagnostic assessment, treatment of common acute and chronic conditions, health education, and referral coordination to specialist physicians as required. All services will be conducted in accordance with the medical regulations and licensing standards established by the Ministry of Health of the Republic of Uzbekistan.</w:t>
      </w:r>
    </w:p>
    <w:p>
      <w:pPr>
        <w:pStyle w:val="BodyText"/>
      </w:pPr>
      <w:r>
        <w:t xml:space="preserve">The Doctor General Practitioner engagement covers the following core responsibilities:</w:t>
      </w:r>
    </w:p>
    <w:p>
      <w:pPr>
        <w:numPr>
          <w:ilvl w:val="0"/>
          <w:numId w:val="1001"/>
        </w:numPr>
        <w:pStyle w:val="Compact"/>
      </w:pPr>
      <w:r>
        <w:t xml:space="preserve">Conducting initial medical examinations, health screenings, and annual physical assessments for all enrolled personnel.</w:t>
      </w:r>
    </w:p>
    <w:p>
      <w:pPr>
        <w:numPr>
          <w:ilvl w:val="0"/>
          <w:numId w:val="1001"/>
        </w:numPr>
        <w:pStyle w:val="Compact"/>
      </w:pPr>
      <w:r>
        <w:t xml:space="preserve">Providing diagnosis and treatment of common illnesses including respiratory infections, gastrointestinal disorders, dermatological conditions, and minor injuries.</w:t>
      </w:r>
    </w:p>
    <w:p>
      <w:pPr>
        <w:numPr>
          <w:ilvl w:val="0"/>
          <w:numId w:val="1001"/>
        </w:numPr>
        <w:pStyle w:val="Compact"/>
      </w:pPr>
      <w:r>
        <w:t xml:space="preserve">Managing chronic disease monitoring including hypertension, diabetes mellitus, and cardiovascular risk factors.</w:t>
      </w:r>
    </w:p>
    <w:p>
      <w:pPr>
        <w:numPr>
          <w:ilvl w:val="0"/>
          <w:numId w:val="1001"/>
        </w:numPr>
        <w:pStyle w:val="Compact"/>
      </w:pPr>
      <w:r>
        <w:t xml:space="preserve">Administering vaccinations and immunizations in line with the national immunization schedule of Uzbekistan.</w:t>
      </w:r>
    </w:p>
    <w:p>
      <w:pPr>
        <w:numPr>
          <w:ilvl w:val="0"/>
          <w:numId w:val="1001"/>
        </w:numPr>
        <w:pStyle w:val="Compact"/>
      </w:pPr>
      <w:r>
        <w:t xml:space="preserve">Issuing medical certificates, sick leave documentation, and fitness-to-work assessments.</w:t>
      </w:r>
    </w:p>
    <w:p>
      <w:pPr>
        <w:numPr>
          <w:ilvl w:val="0"/>
          <w:numId w:val="1001"/>
        </w:numPr>
        <w:pStyle w:val="Compact"/>
      </w:pPr>
      <w:r>
        <w:t xml:space="preserve">Coordinating referrals to specialist departments (cardiology, neurology, orthopedics, etc.) within the Tashkent healthcare network.</w:t>
      </w:r>
    </w:p>
    <w:p>
      <w:pPr>
        <w:numPr>
          <w:ilvl w:val="0"/>
          <w:numId w:val="1001"/>
        </w:numPr>
        <w:pStyle w:val="Compact"/>
      </w:pPr>
      <w:r>
        <w:t xml:space="preserve">Maintaining confidential patient records in compliance with Uzbek data protection and medical privacy legislation.</w:t>
      </w:r>
    </w:p>
    <w:p>
      <w:pPr>
        <w:numPr>
          <w:ilvl w:val="0"/>
          <w:numId w:val="1001"/>
        </w:numPr>
        <w:pStyle w:val="Compact"/>
      </w:pPr>
      <w:r>
        <w:t xml:space="preserve">Providing telemedicine consultations for non-urgent follow-ups to reduce in-person visits.</w:t>
      </w:r>
    </w:p>
    <w:p>
      <w:pPr>
        <w:numPr>
          <w:ilvl w:val="0"/>
          <w:numId w:val="1001"/>
        </w:numPr>
        <w:pStyle w:val="Compact"/>
      </w:pPr>
      <w:r>
        <w:t xml:space="preserve">Delivering periodic health awareness workshops and occupational health briefings.</w:t>
      </w:r>
    </w:p>
    <w:bookmarkEnd w:id="22"/>
    <w:bookmarkStart w:id="23" w:name="quotation-estimate-itemized-pricing"/>
    <w:p>
      <w:pPr>
        <w:pStyle w:val="Heading2"/>
      </w:pPr>
      <w:r>
        <w:t xml:space="preserve">3. Quotation Estimate –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Doctor General Practitioner – Monthly Retainer (full-time availability, 8 hrs/day, 5 days/week)</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2</w:t>
            </w:r>
          </w:p>
        </w:tc>
        <w:tc>
          <w:tcPr/>
          <w:p>
            <w:pPr>
              <w:pStyle w:val="Compact"/>
              <w:jc w:val="left"/>
            </w:pPr>
            <w:r>
              <w:t xml:space="preserve">Initial Comprehensive Health Screening per enrollee (blood work, ECG, BMI, vision, hearing)</w:t>
            </w:r>
          </w:p>
        </w:tc>
        <w:tc>
          <w:tcPr/>
          <w:p>
            <w:pPr>
              <w:pStyle w:val="Compact"/>
              <w:jc w:val="left"/>
            </w:pPr>
            <w:r>
              <w:t xml:space="preserve">One-time (up to 50 personnel)</w:t>
            </w:r>
          </w:p>
        </w:tc>
        <w:tc>
          <w:tcPr/>
          <w:p>
            <w:pPr>
              <w:pStyle w:val="Compact"/>
              <w:jc w:val="left"/>
            </w:pPr>
            <w:r>
              <w:t xml:space="preserve">$85</w:t>
            </w:r>
          </w:p>
        </w:tc>
        <w:tc>
          <w:tcPr/>
          <w:p>
            <w:pPr>
              <w:pStyle w:val="Compact"/>
              <w:jc w:val="left"/>
            </w:pPr>
            <w:r>
              <w:t xml:space="preserve">$4,250</w:t>
            </w:r>
          </w:p>
        </w:tc>
      </w:tr>
      <w:tr>
        <w:tc>
          <w:tcPr/>
          <w:p>
            <w:pPr>
              <w:pStyle w:val="Compact"/>
              <w:jc w:val="left"/>
            </w:pPr>
            <w:r>
              <w:t xml:space="preserve">3</w:t>
            </w:r>
          </w:p>
        </w:tc>
        <w:tc>
          <w:tcPr/>
          <w:p>
            <w:pPr>
              <w:pStyle w:val="Compact"/>
              <w:jc w:val="left"/>
            </w:pPr>
            <w:r>
              <w:t xml:space="preserve">Follow-up Consultations (unlimited, included in retainer)</w:t>
            </w:r>
          </w:p>
        </w:tc>
        <w:tc>
          <w:tcPr/>
          <w:p>
            <w:pPr>
              <w:pStyle w:val="Compact"/>
              <w:jc w:val="left"/>
            </w:pPr>
            <w:r>
              <w:t xml:space="preserve">12 months</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4</w:t>
            </w:r>
          </w:p>
        </w:tc>
        <w:tc>
          <w:tcPr/>
          <w:p>
            <w:pPr>
              <w:pStyle w:val="Compact"/>
              <w:jc w:val="left"/>
            </w:pPr>
            <w:r>
              <w:t xml:space="preserve">Annual Physical Examination per enrollee</w:t>
            </w:r>
          </w:p>
        </w:tc>
        <w:tc>
          <w:tcPr/>
          <w:p>
            <w:pPr>
              <w:pStyle w:val="Compact"/>
              <w:jc w:val="left"/>
            </w:pPr>
            <w:r>
              <w:t xml:space="preserve">12 months (up to 50 personnel)</w:t>
            </w:r>
          </w:p>
        </w:tc>
        <w:tc>
          <w:tcPr/>
          <w:p>
            <w:pPr>
              <w:pStyle w:val="Compact"/>
              <w:jc w:val="left"/>
            </w:pPr>
            <w:r>
              <w:t xml:space="preserve">$120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Vaccination Administration (per dose, excluding vaccine cost)</w:t>
            </w:r>
          </w:p>
        </w:tc>
        <w:tc>
          <w:tcPr/>
          <w:p>
            <w:pPr>
              <w:pStyle w:val="Compact"/>
              <w:jc w:val="left"/>
            </w:pPr>
            <w:r>
              <w:t xml:space="preserve">As required</w:t>
            </w:r>
          </w:p>
        </w:tc>
        <w:tc>
          <w:tcPr/>
          <w:p>
            <w:pPr>
              <w:pStyle w:val="Compact"/>
              <w:jc w:val="left"/>
            </w:pPr>
            <w:r>
              <w:t xml:space="preserve">$15</w:t>
            </w:r>
          </w:p>
        </w:tc>
        <w:tc>
          <w:tcPr/>
          <w:p>
            <w:pPr>
              <w:pStyle w:val="Compact"/>
              <w:jc w:val="left"/>
            </w:pPr>
            <w:r>
              <w:t xml:space="preserve">$750</w:t>
            </w:r>
          </w:p>
        </w:tc>
      </w:tr>
      <w:tr>
        <w:tc>
          <w:tcPr/>
          <w:p>
            <w:pPr>
              <w:pStyle w:val="Compact"/>
              <w:jc w:val="left"/>
            </w:pPr>
            <w:r>
              <w:t xml:space="preserve">6</w:t>
            </w:r>
          </w:p>
        </w:tc>
        <w:tc>
          <w:tcPr/>
          <w:p>
            <w:pPr>
              <w:pStyle w:val="Compact"/>
              <w:jc w:val="left"/>
            </w:pPr>
            <w:r>
              <w:t xml:space="preserve">Telemedicine Consultation Package (unlimited, 12 months)</w:t>
            </w:r>
          </w:p>
        </w:tc>
        <w:tc>
          <w:tcPr/>
          <w:p>
            <w:pPr>
              <w:pStyle w:val="Compact"/>
              <w:jc w:val="left"/>
            </w:pPr>
            <w:r>
              <w:t xml:space="preserve">12 months</w:t>
            </w:r>
          </w:p>
        </w:tc>
        <w:tc>
          <w:tcPr/>
          <w:p>
            <w:pPr>
              <w:pStyle w:val="Compact"/>
              <w:jc w:val="left"/>
            </w:pPr>
            <w:r>
              <w:t xml:space="preserve">$400</w:t>
            </w:r>
          </w:p>
        </w:tc>
        <w:tc>
          <w:tcPr/>
          <w:p>
            <w:pPr>
              <w:pStyle w:val="Compact"/>
              <w:jc w:val="left"/>
            </w:pPr>
            <w:r>
              <w:t xml:space="preserve">$4,800</w:t>
            </w:r>
          </w:p>
        </w:tc>
      </w:tr>
      <w:tr>
        <w:tc>
          <w:tcPr/>
          <w:p>
            <w:pPr>
              <w:pStyle w:val="Compact"/>
              <w:jc w:val="left"/>
            </w:pPr>
            <w:r>
              <w:t xml:space="preserve">7</w:t>
            </w:r>
          </w:p>
        </w:tc>
        <w:tc>
          <w:tcPr/>
          <w:p>
            <w:pPr>
              <w:pStyle w:val="Compact"/>
              <w:jc w:val="left"/>
            </w:pPr>
            <w:r>
              <w:t xml:space="preserve">Health Awareness Workshop (per session, up to 4 sessions/year)</w:t>
            </w:r>
          </w:p>
        </w:tc>
        <w:tc>
          <w:tcPr/>
          <w:p>
            <w:pPr>
              <w:pStyle w:val="Compact"/>
              <w:jc w:val="left"/>
            </w:pPr>
            <w:r>
              <w:t xml:space="preserve">4 sessions</w:t>
            </w:r>
          </w:p>
        </w:tc>
        <w:tc>
          <w:tcPr/>
          <w:p>
            <w:pPr>
              <w:pStyle w:val="Compact"/>
              <w:jc w:val="left"/>
            </w:pPr>
            <w:r>
              <w:t xml:space="preserve">$350</w:t>
            </w:r>
          </w:p>
        </w:tc>
        <w:tc>
          <w:tcPr/>
          <w:p>
            <w:pPr>
              <w:pStyle w:val="Compact"/>
              <w:jc w:val="left"/>
            </w:pPr>
            <w:r>
              <w:t xml:space="preserve">$1,400</w:t>
            </w:r>
          </w:p>
        </w:tc>
      </w:tr>
      <w:tr>
        <w:tc>
          <w:tcPr/>
          <w:p>
            <w:pPr>
              <w:pStyle w:val="Compact"/>
              <w:jc w:val="left"/>
            </w:pPr>
            <w:r>
              <w:t xml:space="preserve">8</w:t>
            </w:r>
          </w:p>
        </w:tc>
        <w:tc>
          <w:tcPr/>
          <w:p>
            <w:pPr>
              <w:pStyle w:val="Compact"/>
              <w:jc w:val="left"/>
            </w:pPr>
            <w:r>
              <w:t xml:space="preserve">Medical Records Management &amp; Reporting (monthly summary reports)</w:t>
            </w:r>
          </w:p>
        </w:tc>
        <w:tc>
          <w:tcPr/>
          <w:p>
            <w:pPr>
              <w:pStyle w:val="Compact"/>
              <w:jc w:val="left"/>
            </w:pPr>
            <w:r>
              <w:t xml:space="preserve">12 months</w:t>
            </w:r>
          </w:p>
        </w:tc>
        <w:tc>
          <w:tcPr/>
          <w:p>
            <w:pPr>
              <w:pStyle w:val="Compact"/>
              <w:jc w:val="left"/>
            </w:pPr>
            <w:r>
              <w:t xml:space="preserve">$200</w:t>
            </w:r>
          </w:p>
        </w:tc>
        <w:tc>
          <w:tcPr/>
          <w:p>
            <w:pPr>
              <w:pStyle w:val="Compact"/>
              <w:jc w:val="left"/>
            </w:pPr>
            <w:r>
              <w:t xml:space="preserve">$2,400</w:t>
            </w:r>
          </w:p>
        </w:tc>
      </w:tr>
      <w:tr>
        <w:tc>
          <w:tcPr/>
          <w:p>
            <w:pPr>
              <w:pStyle w:val="Compact"/>
              <w:jc w:val="left"/>
            </w:pPr>
            <w:r>
              <w:t xml:space="preserve">9</w:t>
            </w:r>
          </w:p>
        </w:tc>
        <w:tc>
          <w:tcPr/>
          <w:p>
            <w:pPr>
              <w:pStyle w:val="Compact"/>
              <w:jc w:val="left"/>
            </w:pPr>
            <w:r>
              <w:t xml:space="preserve">Emergency On-Call Coverage (weekends and public holidays in Tashkent)</w:t>
            </w:r>
          </w:p>
        </w:tc>
        <w:tc>
          <w:tcPr/>
          <w:p>
            <w:pPr>
              <w:pStyle w:val="Compact"/>
              <w:jc w:val="left"/>
            </w:pPr>
            <w:r>
              <w:t xml:space="preserve">12 months</w:t>
            </w:r>
          </w:p>
        </w:tc>
        <w:tc>
          <w:tcPr/>
          <w:p>
            <w:pPr>
              <w:pStyle w:val="Compact"/>
              <w:jc w:val="left"/>
            </w:pPr>
            <w:r>
              <w:t xml:space="preserve">$500</w:t>
            </w:r>
          </w:p>
        </w:tc>
        <w:tc>
          <w:tcPr/>
          <w:p>
            <w:pPr>
              <w:pStyle w:val="Compact"/>
              <w:jc w:val="left"/>
            </w:pPr>
            <w:r>
              <w:t xml:space="preserve">$6,000</w:t>
            </w:r>
          </w:p>
        </w:tc>
      </w:tr>
      <w:tr>
        <w:tc>
          <w:tcPr/>
          <w:p>
            <w:pPr>
              <w:pStyle w:val="Compact"/>
              <w:jc w:val="left"/>
            </w:pPr>
            <w:r>
              <w:t xml:space="preserve">10</w:t>
            </w:r>
          </w:p>
        </w:tc>
        <w:tc>
          <w:tcPr/>
          <w:p>
            <w:pPr>
              <w:pStyle w:val="Compact"/>
              <w:jc w:val="left"/>
            </w:pPr>
            <w:r>
              <w:t xml:space="preserve">Referral Coordination &amp; Specialist Liaison (within Tashkent medical network)</w:t>
            </w:r>
          </w:p>
        </w:tc>
        <w:tc>
          <w:tcPr/>
          <w:p>
            <w:pPr>
              <w:pStyle w:val="Compact"/>
              <w:jc w:val="left"/>
            </w:pPr>
            <w:r>
              <w:t xml:space="preserve">12 months</w:t>
            </w:r>
          </w:p>
        </w:tc>
        <w:tc>
          <w:tcPr/>
          <w:p>
            <w:pPr>
              <w:pStyle w:val="Compact"/>
              <w:jc w:val="left"/>
            </w:pPr>
            <w:r>
              <w:t xml:space="preserve">$300</w:t>
            </w:r>
          </w:p>
        </w:tc>
        <w:tc>
          <w:tcPr/>
          <w:p>
            <w:pPr>
              <w:pStyle w:val="Compact"/>
              <w:jc w:val="left"/>
            </w:pPr>
            <w:r>
              <w:t xml:space="preserve">$3,600</w:t>
            </w:r>
          </w:p>
        </w:tc>
      </w:tr>
      <w:tr>
        <w:tc>
          <w:tcPr>
            <w:gridSpan w:val="4"/>
          </w:tcPr>
          <w:p>
            <w:pPr>
              <w:pStyle w:val="Compact"/>
              <w:jc w:val="left"/>
            </w:pPr>
            <w:r>
              <w:t xml:space="preserve">TOTAL QUOTATION ESTIMATE (USD)</w:t>
            </w:r>
          </w:p>
        </w:tc>
        <w:tc>
          <w:tcPr/>
          <w:p>
            <w:pPr>
              <w:pStyle w:val="Compact"/>
              <w:jc w:val="left"/>
            </w:pPr>
            <w:r>
              <w:t xml:space="preserve">$67,600</w:t>
            </w:r>
          </w:p>
        </w:tc>
      </w:tr>
      <w:tr>
        <w:tc>
          <w:tcPr>
            <w:gridSpan w:val="4"/>
          </w:tcPr>
          <w:p>
            <w:pPr>
              <w:pStyle w:val="Compact"/>
              <w:jc w:val="left"/>
            </w:pPr>
            <w:r>
              <w:t xml:space="preserve">Applicable VAT (12% – Uzbekistan standard rate)</w:t>
            </w:r>
          </w:p>
        </w:tc>
        <w:tc>
          <w:tcPr/>
          <w:p>
            <w:pPr>
              <w:pStyle w:val="Compact"/>
              <w:jc w:val="left"/>
            </w:pPr>
            <w:r>
              <w:t xml:space="preserve">$8,112</w:t>
            </w:r>
          </w:p>
        </w:tc>
      </w:tr>
      <w:tr>
        <w:tc>
          <w:tcPr>
            <w:gridSpan w:val="4"/>
          </w:tcPr>
          <w:p>
            <w:pPr>
              <w:pStyle w:val="Compact"/>
              <w:jc w:val="left"/>
            </w:pPr>
            <w:r>
              <w:t xml:space="preserve">GRAND TOTAL (USD)</w:t>
            </w:r>
          </w:p>
        </w:tc>
        <w:tc>
          <w:tcPr/>
          <w:p>
            <w:pPr>
              <w:pStyle w:val="Compact"/>
              <w:jc w:val="left"/>
            </w:pPr>
            <w:r>
              <w:t xml:space="preserve">$75,712</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United States Dollars (USD) via bank transfer to the designated account of the service provider registered in Tashkent, Uzbekistan. The payment schedule is as follows:</w:t>
      </w:r>
    </w:p>
    <w:p>
      <w:pPr>
        <w:numPr>
          <w:ilvl w:val="0"/>
          <w:numId w:val="1002"/>
        </w:numPr>
        <w:pStyle w:val="Compact"/>
      </w:pPr>
      <w:r>
        <w:rPr>
          <w:bCs/>
          <w:b/>
        </w:rPr>
        <w:t xml:space="preserve">30% advance payment</w:t>
      </w:r>
      <w:r>
        <w:t xml:space="preserve"> </w:t>
      </w:r>
      <w:r>
        <w:t xml:space="preserve">upon acceptance and signing of this Quotation Estimate.</w:t>
      </w:r>
    </w:p>
    <w:p>
      <w:pPr>
        <w:numPr>
          <w:ilvl w:val="0"/>
          <w:numId w:val="1002"/>
        </w:numPr>
        <w:pStyle w:val="Compact"/>
      </w:pPr>
      <w:r>
        <w:rPr>
          <w:bCs/>
          <w:b/>
        </w:rPr>
        <w:t xml:space="preserve">Monthly installments</w:t>
      </w:r>
      <w:r>
        <w:t xml:space="preserve"> </w:t>
      </w:r>
      <w:r>
        <w:t xml:space="preserve">of the remaining balance, due on the 5th business day of each month.</w:t>
      </w:r>
    </w:p>
    <w:p>
      <w:pPr>
        <w:numPr>
          <w:ilvl w:val="0"/>
          <w:numId w:val="1002"/>
        </w:numPr>
        <w:pStyle w:val="Compact"/>
      </w:pPr>
      <w:r>
        <w:t xml:space="preserve">All invoices are payable within</w:t>
      </w:r>
      <w:r>
        <w:t xml:space="preserve"> </w:t>
      </w:r>
      <w:r>
        <w:rPr>
          <w:bCs/>
          <w:b/>
        </w:rPr>
        <w:t xml:space="preserve">15 calendar days</w:t>
      </w:r>
      <w:r>
        <w:t xml:space="preserve"> </w:t>
      </w:r>
      <w:r>
        <w:t xml:space="preserve">of the invoice date. Late payments shall incur a penalty of 1.5% per month.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w:t>
      </w:r>
      <w:r>
        <w:t xml:space="preserve"> </w:t>
      </w:r>
      <w:r>
        <w:rPr>
          <w:bCs/>
          <w:b/>
        </w:rPr>
        <w:t xml:space="preserve">30 days</w:t>
      </w:r>
      <w:r>
        <w:t xml:space="preserve"> </w:t>
      </w:r>
      <w:r>
        <w:t xml:space="preserve">from the date of issue. After the expiry date, pricing may be subject to revision based on market conditions in Uzbekistan Tashkent.</w:t>
      </w:r>
    </w:p>
    <w:p>
      <w:pPr>
        <w:numPr>
          <w:ilvl w:val="0"/>
          <w:numId w:val="1003"/>
        </w:numPr>
        <w:pStyle w:val="Compact"/>
      </w:pPr>
      <w:r>
        <w:t xml:space="preserve">The Doctor General Practitioner must hold a valid medical license issued by the Ministry of Health of the Republic of Uzbekistan and maintain professional liability insurance throughout the contract period.</w:t>
      </w:r>
    </w:p>
    <w:p>
      <w:pPr>
        <w:numPr>
          <w:ilvl w:val="0"/>
          <w:numId w:val="1003"/>
        </w:numPr>
        <w:pStyle w:val="Compact"/>
      </w:pPr>
      <w:r>
        <w:t xml:space="preserve">All medical services will be delivered in a licensed clinical facility within Tashkent, Uzbekistan, or at the client's designated premises as mutually agreed.</w:t>
      </w:r>
    </w:p>
    <w:p>
      <w:pPr>
        <w:numPr>
          <w:ilvl w:val="0"/>
          <w:numId w:val="1003"/>
        </w:numPr>
        <w:pStyle w:val="Compact"/>
      </w:pPr>
      <w:r>
        <w:t xml:space="preserve">Confidentiality of all patient medical records is guaranteed under the Law of the Republic of Uzbekistan "On Medical Care" and applicable data protection regulations.</w:t>
      </w:r>
    </w:p>
    <w:p>
      <w:pPr>
        <w:numPr>
          <w:ilvl w:val="0"/>
          <w:numId w:val="1003"/>
        </w:numPr>
        <w:pStyle w:val="Compact"/>
      </w:pPr>
      <w:r>
        <w:t xml:space="preserve">The service provider reserves the right to substitute the Doctor General Practitioner with an equally qualified physician in the event of illness, leave, or force majeure, with prior written notice to the client.</w:t>
      </w:r>
    </w:p>
    <w:p>
      <w:pPr>
        <w:numPr>
          <w:ilvl w:val="0"/>
          <w:numId w:val="1003"/>
        </w:numPr>
        <w:pStyle w:val="Compact"/>
      </w:pPr>
      <w:r>
        <w:t xml:space="preserve">Any additional services not explicitly listed in this Quotation Estimate will be subject to a separate written agreement and additional charges.</w:t>
      </w:r>
    </w:p>
    <w:p>
      <w:pPr>
        <w:numPr>
          <w:ilvl w:val="0"/>
          <w:numId w:val="1003"/>
        </w:numPr>
        <w:pStyle w:val="Compact"/>
      </w:pPr>
      <w:r>
        <w:t xml:space="preserve">Disputes arising from this Quotation Estimate shall be resolved through amicable negotiation. In the absence of resolution, disputes shall be submitted to the competent courts of Tashkent, Uzbekistan.</w:t>
      </w:r>
    </w:p>
    <w:p>
      <w:pPr>
        <w:numPr>
          <w:ilvl w:val="0"/>
          <w:numId w:val="1003"/>
        </w:numPr>
        <w:pStyle w:val="Compact"/>
      </w:pPr>
      <w:r>
        <w:t xml:space="preserve">This Quotation Estimate does not constitute a binding contract until formally accepted in writing by both parties and converted into a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Doctor General Practitioner services in Uzbekistan Tashkent and agrees to the terms, pricing, and conditions outlined herein.</w:t>
      </w:r>
    </w:p>
    <w:p>
      <w:pPr>
        <w:pStyle w:val="BodyText"/>
      </w:pPr>
      <w:r>
        <w:rPr>
          <w:bCs/>
          <w:b/>
        </w:rPr>
        <w:t xml:space="preserve">For the Service Provider</w:t>
      </w:r>
      <w:r>
        <w:br/>
      </w:r>
      <w:r>
        <w:t xml:space="preserve">Name: ________________________</w:t>
      </w:r>
      <w:r>
        <w:br/>
      </w:r>
      <w:r>
        <w:t xml:space="preserve">Title: ________________________</w:t>
      </w:r>
      <w:r>
        <w:br/>
      </w:r>
      <w:r>
        <w:t xml:space="preserve">Signature &amp; Date: ________________________</w:t>
      </w:r>
    </w:p>
    <w:p>
      <w:pPr>
        <w:pStyle w:val="BodyText"/>
      </w:pPr>
      <w:r>
        <w:rPr>
          <w:bCs/>
          <w:b/>
        </w:rPr>
        <w:t xml:space="preserve">For the Client</w:t>
      </w:r>
      <w:r>
        <w:br/>
      </w:r>
      <w:r>
        <w:t xml:space="preserve">Name: ________________________</w:t>
      </w:r>
      <w:r>
        <w:br/>
      </w:r>
      <w:r>
        <w:t xml:space="preserve">Title: ________________________</w:t>
      </w:r>
      <w:r>
        <w:br/>
      </w:r>
      <w:r>
        <w:t xml:space="preserve">Signature &amp; Date: ________________________</w:t>
      </w:r>
    </w:p>
    <w:p>
      <w:pPr>
        <w:pStyle w:val="BodyText"/>
      </w:pPr>
      <w:r>
        <w:t xml:space="preserve">Quotation Estimate QTE-TKT-2025-04782 | Doctor General Practitioner Services | Tashkent, Uzbekistan</w:t>
      </w:r>
    </w:p>
    <w:p>
      <w:pPr>
        <w:pStyle w:val="BodyText"/>
      </w:pPr>
      <w:r>
        <w:t xml:space="preserve">This document is confidential and intended solely for the named recipient. Unauthorized reproduction or distribution is prohibited.</w:t>
      </w:r>
    </w:p>
    <w:p>
      <w:pPr>
        <w:pStyle w:val="BodyText"/>
      </w:pPr>
      <w:r>
        <w:t xml:space="preserve">© 2025 Medical Services Division – Tashkent, Uzbekistan.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Uzbekistan Tashkent</dc:title>
  <dc:creator/>
  <dc:language>en</dc:language>
  <cp:keywords/>
  <dcterms:created xsi:type="dcterms:W3CDTF">2026-10-10T10:20:53Z</dcterms:created>
  <dcterms:modified xsi:type="dcterms:W3CDTF">2026-10-10T10:20:53Z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