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Economist Services — Argentina Buenos Aires</w:t>
      </w:r>
    </w:p>
    <w:bookmarkEnd w:id="20"/>
    <w:p>
      <w:pPr>
        <w:pStyle w:val="BodyText"/>
      </w:pPr>
      <w:r>
        <w:rPr>
          <w:bCs/>
          <w:b/>
        </w:rPr>
        <w:t xml:space="preserve">Reference No.:</w:t>
      </w:r>
      <w:r>
        <w:t xml:space="preserve"> </w:t>
      </w:r>
      <w:r>
        <w:t xml:space="preserve">QE-BA-2025-04782</w:t>
      </w:r>
      <w:r>
        <w:br/>
      </w:r>
      <w:r>
        <w:rPr>
          <w:bCs/>
          <w:b/>
        </w:rPr>
        <w:t xml:space="preserve">Date of Issue:</w:t>
      </w:r>
      <w:r>
        <w:t xml:space="preserve"> </w:t>
      </w:r>
      <w:r>
        <w:t xml:space="preserve">June 12, 2025</w:t>
      </w:r>
      <w:r>
        <w:br/>
      </w:r>
      <w:r>
        <w:rPr>
          <w:bCs/>
          <w:b/>
        </w:rPr>
        <w:t xml:space="preserve">Validity Period:</w:t>
      </w:r>
      <w:r>
        <w:t xml:space="preserve"> </w:t>
      </w:r>
      <w:r>
        <w:t xml:space="preserve">30 calendar days</w:t>
      </w:r>
    </w:p>
    <w:p>
      <w:pPr>
        <w:pStyle w:val="BodyText"/>
      </w:pPr>
      <w:r>
        <w:rPr>
          <w:bCs/>
          <w:b/>
        </w:rPr>
        <w:t xml:space="preserve">Prepared By:</w:t>
      </w:r>
      <w:r>
        <w:t xml:space="preserve"> </w:t>
      </w:r>
      <w:r>
        <w:t xml:space="preserve">Dr. Mariana E. Solís</w:t>
      </w:r>
      <w:r>
        <w:br/>
      </w:r>
      <w:r>
        <w:rPr>
          <w:bCs/>
          <w:b/>
        </w:rPr>
        <w:t xml:space="preserve">Position:</w:t>
      </w:r>
      <w:r>
        <w:t xml:space="preserve"> </w:t>
      </w:r>
      <w:r>
        <w:t xml:space="preserve">Senior Economist, Macroeconomic Advisory</w:t>
      </w:r>
      <w:r>
        <w:br/>
      </w:r>
      <w:r>
        <w:rPr>
          <w:bCs/>
          <w:b/>
        </w:rPr>
        <w:t xml:space="preserve">License No.:</w:t>
      </w:r>
      <w:r>
        <w:t xml:space="preserve"> </w:t>
      </w:r>
      <w:r>
        <w:t xml:space="preserve">AR-EC-2019-4471</w:t>
      </w:r>
    </w:p>
    <w:bookmarkStart w:id="23" w:name="parties-involved"/>
    <w:p>
      <w:pPr>
        <w:pStyle w:val="Heading2"/>
      </w:pPr>
      <w:r>
        <w:t xml:space="preserve">1. Parties Involved</w:t>
      </w:r>
    </w:p>
    <w:bookmarkStart w:id="21" w:name="service-provider"/>
    <w:p>
      <w:pPr>
        <w:pStyle w:val="Heading4"/>
      </w:pPr>
      <w:r>
        <w:t xml:space="preserve">Service Provider</w:t>
      </w:r>
    </w:p>
    <w:p>
      <w:pPr>
        <w:pStyle w:val="FirstParagraph"/>
      </w:pPr>
      <w:r>
        <w:rPr>
          <w:bCs/>
          <w:b/>
        </w:rPr>
        <w:t xml:space="preserve">Name:</w:t>
      </w:r>
      <w:r>
        <w:t xml:space="preserve"> </w:t>
      </w:r>
      <w:r>
        <w:t xml:space="preserve">Solís &amp; Asociados Económicos S.R.L.</w:t>
      </w:r>
    </w:p>
    <w:p>
      <w:pPr>
        <w:pStyle w:val="BodyText"/>
      </w:pPr>
      <w:r>
        <w:rPr>
          <w:bCs/>
          <w:b/>
        </w:rPr>
        <w:t xml:space="preserve">Address:</w:t>
      </w:r>
      <w:r>
        <w:t xml:space="preserve"> </w:t>
      </w:r>
      <w:r>
        <w:t xml:space="preserve">Av. Corrientes 1247, Piso 8, C1043AAE, Buenos Aires, Argentina</w:t>
      </w:r>
    </w:p>
    <w:p>
      <w:pPr>
        <w:pStyle w:val="BodyText"/>
      </w:pPr>
      <w:r>
        <w:rPr>
          <w:bCs/>
          <w:b/>
        </w:rPr>
        <w:t xml:space="preserve">CUIT:</w:t>
      </w:r>
      <w:r>
        <w:t xml:space="preserve"> </w:t>
      </w:r>
      <w:r>
        <w:t xml:space="preserve">30-71234567-8</w:t>
      </w:r>
    </w:p>
    <w:p>
      <w:pPr>
        <w:pStyle w:val="BodyText"/>
      </w:pPr>
      <w:r>
        <w:rPr>
          <w:bCs/>
          <w:b/>
        </w:rPr>
        <w:t xml:space="preserve">Email:</w:t>
      </w:r>
      <w:r>
        <w:t xml:space="preserve"> </w:t>
      </w:r>
      <w:r>
        <w:t xml:space="preserve">contacto@soliseconomicos.com.ar</w:t>
      </w:r>
    </w:p>
    <w:p>
      <w:pPr>
        <w:pStyle w:val="BodyText"/>
      </w:pPr>
      <w:r>
        <w:rPr>
          <w:bCs/>
          <w:b/>
        </w:rPr>
        <w:t xml:space="preserve">Phone:</w:t>
      </w:r>
      <w:r>
        <w:t xml:space="preserve"> </w:t>
      </w:r>
      <w:r>
        <w:t xml:space="preserve">+54 11 4321-5678</w:t>
      </w:r>
    </w:p>
    <w:bookmarkEnd w:id="21"/>
    <w:bookmarkStart w:id="22" w:name="client-requesting-party"/>
    <w:p>
      <w:pPr>
        <w:pStyle w:val="Heading4"/>
      </w:pPr>
      <w:r>
        <w:t xml:space="preserve">Client / Requesting Party</w:t>
      </w:r>
    </w:p>
    <w:p>
      <w:pPr>
        <w:pStyle w:val="FirstParagraph"/>
      </w:pPr>
      <w:r>
        <w:rPr>
          <w:bCs/>
          <w:b/>
        </w:rPr>
        <w:t xml:space="preserve">Name:</w:t>
      </w:r>
      <w:r>
        <w:t xml:space="preserve"> </w:t>
      </w:r>
      <w:r>
        <w:t xml:space="preserve">[Client Company Name]</w:t>
      </w:r>
    </w:p>
    <w:p>
      <w:pPr>
        <w:pStyle w:val="BodyText"/>
      </w:pPr>
      <w:r>
        <w:rPr>
          <w:bCs/>
          <w:b/>
        </w:rPr>
        <w:t xml:space="preserve">Address:</w:t>
      </w:r>
      <w:r>
        <w:t xml:space="preserve"> </w:t>
      </w:r>
      <w:r>
        <w:t xml:space="preserve">[Client Address], Buenos Aires, Argentina</w:t>
      </w:r>
    </w:p>
    <w:p>
      <w:pPr>
        <w:pStyle w:val="BodyText"/>
      </w:pPr>
      <w:r>
        <w:rPr>
          <w:bCs/>
          <w:b/>
        </w:rPr>
        <w:t xml:space="preserve">CUIT / CUIL:</w:t>
      </w:r>
      <w:r>
        <w:t xml:space="preserve"> </w:t>
      </w:r>
      <w:r>
        <w:t xml:space="preserve">[Tax Identification Number]</w:t>
      </w:r>
    </w:p>
    <w:p>
      <w:pPr>
        <w:pStyle w:val="BodyText"/>
      </w:pPr>
      <w:r>
        <w:rPr>
          <w:bCs/>
          <w:b/>
        </w:rPr>
        <w:t xml:space="preserve">Contact Person:</w:t>
      </w:r>
      <w:r>
        <w:t xml:space="preserve"> </w:t>
      </w:r>
      <w:r>
        <w:t xml:space="preserve">[Name and Title]</w:t>
      </w:r>
    </w:p>
    <w:p>
      <w:pPr>
        <w:pStyle w:val="BodyText"/>
      </w:pPr>
      <w:r>
        <w:rPr>
          <w:bCs/>
          <w:b/>
        </w:rPr>
        <w:t xml:space="preserve">Email:</w:t>
      </w:r>
      <w:r>
        <w:t xml:space="preserve"> </w:t>
      </w:r>
      <w:r>
        <w:t xml:space="preserve">[Client Email]</w:t>
      </w:r>
    </w:p>
    <w:bookmarkEnd w:id="22"/>
    <w:bookmarkEnd w:id="23"/>
    <w:bookmarkStart w:id="24" w:name="X0c7581080508d578c26b6d8dfd726c7e3ca5cc9"/>
    <w:p>
      <w:pPr>
        <w:pStyle w:val="Heading2"/>
      </w:pPr>
      <w:r>
        <w:t xml:space="preserve">2. Purpose and Scope of This Quotation Estimate</w:t>
      </w:r>
    </w:p>
    <w:p>
      <w:pPr>
        <w:pStyle w:val="FirstParagraph"/>
      </w:pPr>
      <w:r>
        <w:t xml:space="preserve">This</w:t>
      </w:r>
      <w:r>
        <w:t xml:space="preserve"> </w:t>
      </w:r>
      <w:r>
        <w:t xml:space="preserve">Quotation Estimate</w:t>
      </w:r>
      <w:r>
        <w:t xml:space="preserve"> </w:t>
      </w:r>
      <w:r>
        <w:t xml:space="preserve">is formally issued by Solís &amp; Asociados Económicos S.R.L. to provide a comprehensive, itemized breakdown of costs associated with the engagement of a qualified</w:t>
      </w:r>
      <w:r>
        <w:t xml:space="preserve"> </w:t>
      </w:r>
      <w:r>
        <w:t xml:space="preserve">Economist</w:t>
      </w:r>
      <w:r>
        <w:t xml:space="preserve"> </w:t>
      </w:r>
      <w:r>
        <w:t xml:space="preserve">to deliver specialized macroeconomic and microeconomic advisory services within the jurisdiction of</w:t>
      </w:r>
      <w:r>
        <w:t xml:space="preserve"> </w:t>
      </w:r>
      <w:r>
        <w:t xml:space="preserve">Argentina Buenos Aires</w:t>
      </w:r>
      <w:r>
        <w:t xml:space="preserve">. The scope of this engagement encompasses economic analysis, policy impact assessment, market forecasting, regulatory compliance review, and strategic financial planning tailored to the unique economic conditions prevailing in the Buenos Aires metropolitan area and the broader Argentine national economy.</w:t>
      </w:r>
    </w:p>
    <w:p>
      <w:pPr>
        <w:pStyle w:val="BodyText"/>
      </w:pPr>
      <w:r>
        <w:t xml:space="preserve">The</w:t>
      </w:r>
      <w:r>
        <w:t xml:space="preserve"> </w:t>
      </w:r>
      <w:r>
        <w:t xml:space="preserve">Economist</w:t>
      </w:r>
      <w:r>
        <w:t xml:space="preserve"> </w:t>
      </w:r>
      <w:r>
        <w:t xml:space="preserve">engaged under this</w:t>
      </w:r>
      <w:r>
        <w:t xml:space="preserve"> </w:t>
      </w:r>
      <w:r>
        <w:t xml:space="preserve">Quotation Estimate</w:t>
      </w:r>
      <w:r>
        <w:t xml:space="preserve"> </w:t>
      </w:r>
      <w:r>
        <w:t xml:space="preserve">shall operate in full compliance with the regulations established by the Argentine Securities Commission (Comisión Nacional de Valores), the Central Bank of Argentina (Banco Central de la República Argentina), and all applicable municipal ordinances governing professional services in the City of Buenos Aires. All deliverables will be produced in accordance with the professional standards set forth by the Argentine Association of Economists (Asociación Argentina de Economistas) and will reflect the current economic realities of</w:t>
      </w:r>
      <w:r>
        <w:t xml:space="preserve"> </w:t>
      </w:r>
      <w:r>
        <w:t xml:space="preserve">Argentina Buenos Aires</w:t>
      </w:r>
      <w:r>
        <w:t xml:space="preserve">, including inflation dynamics, currency exchange rate volatility, fiscal policy adjustments, and trade regulation frameworks.</w:t>
      </w:r>
    </w:p>
    <w:bookmarkEnd w:id="24"/>
    <w:bookmarkStart w:id="25" w:name="detailed-services-and-pricing"/>
    <w:p>
      <w:pPr>
        <w:pStyle w:val="Heading2"/>
      </w:pPr>
      <w:r>
        <w:t xml:space="preserve">3. Detailed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(ARS)</w:t>
            </w:r>
          </w:p>
        </w:tc>
        <w:tc>
          <w:tcPr/>
          <w:p>
            <w:pPr>
              <w:pStyle w:val="Compact"/>
              <w:jc w:val="left"/>
            </w:pPr>
            <w:r>
              <w:t xml:space="preserve">Subtotal (ARS)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Macroeconomic Analysis &amp; Forecasting for the Buenos Aires Metropolitan Region</w:t>
            </w:r>
          </w:p>
        </w:tc>
        <w:tc>
          <w:tcPr/>
          <w:p>
            <w:pPr>
              <w:pStyle w:val="Compact"/>
              <w:jc w:val="left"/>
            </w:pPr>
            <w:r>
              <w:t xml:space="preserve">Monthly (12 months)</w:t>
            </w:r>
          </w:p>
        </w:tc>
        <w:tc>
          <w:tcPr/>
          <w:p>
            <w:pPr>
              <w:pStyle w:val="Compact"/>
              <w:jc w:val="left"/>
            </w:pPr>
            <w:r>
              <w:t xml:space="preserve">$185,000</w:t>
            </w:r>
          </w:p>
        </w:tc>
        <w:tc>
          <w:tcPr/>
          <w:p>
            <w:pPr>
              <w:pStyle w:val="Compact"/>
              <w:jc w:val="left"/>
            </w:pPr>
            <w:r>
              <w:t xml:space="preserve">$2,220,000</w:t>
            </w:r>
          </w:p>
        </w:tc>
        <w:tc>
          <w:tcPr/>
          <w:p>
            <w:pPr>
              <w:pStyle w:val="Compact"/>
              <w:jc w:val="left"/>
            </w:pPr>
            <w:r>
              <w:t xml:space="preserve">Includes GDP, inflation, employment data</w:t>
            </w:r>
          </w:p>
        </w:tc>
      </w:tr>
      <w:tr>
        <w:tc>
          <w:tcPr/>
          <w:p>
            <w:pPr>
              <w:pStyle w:val="Compact"/>
              <w:jc w:val="left"/>
            </w:pPr>
            <w:r>
              <w:t xml:space="preserve">2</w:t>
            </w:r>
          </w:p>
        </w:tc>
        <w:tc>
          <w:tcPr/>
          <w:p>
            <w:pPr>
              <w:pStyle w:val="Compact"/>
              <w:jc w:val="left"/>
            </w:pPr>
            <w:r>
              <w:t xml:space="preserve">Microeconomic Sector Assessment &amp; Competitive Intelligence</w:t>
            </w:r>
          </w:p>
        </w:tc>
        <w:tc>
          <w:tcPr/>
          <w:p>
            <w:pPr>
              <w:pStyle w:val="Compact"/>
              <w:jc w:val="left"/>
            </w:pPr>
            <w:r>
              <w:t xml:space="preserve">Quarterly (4 reports)</w:t>
            </w:r>
          </w:p>
        </w:tc>
        <w:tc>
          <w:tcPr/>
          <w:p>
            <w:pPr>
              <w:pStyle w:val="Compact"/>
              <w:jc w:val="left"/>
            </w:pPr>
            <w:r>
              <w:t xml:space="preserve">$320,000</w:t>
            </w:r>
          </w:p>
        </w:tc>
        <w:tc>
          <w:tcPr/>
          <w:p>
            <w:pPr>
              <w:pStyle w:val="Compact"/>
              <w:jc w:val="left"/>
            </w:pPr>
            <w:r>
              <w:t xml:space="preserve">$1,280,000</w:t>
            </w:r>
          </w:p>
        </w:tc>
        <w:tc>
          <w:tcPr/>
          <w:p>
            <w:pPr>
              <w:pStyle w:val="Compact"/>
              <w:jc w:val="left"/>
            </w:pPr>
            <w:r>
              <w:t xml:space="preserve">Industry-specific analysis in Argentina Buenos Aires</w:t>
            </w:r>
          </w:p>
        </w:tc>
      </w:tr>
      <w:tr>
        <w:tc>
          <w:tcPr/>
          <w:p>
            <w:pPr>
              <w:pStyle w:val="Compact"/>
              <w:jc w:val="left"/>
            </w:pPr>
            <w:r>
              <w:t xml:space="preserve">3</w:t>
            </w:r>
          </w:p>
        </w:tc>
        <w:tc>
          <w:tcPr/>
          <w:p>
            <w:pPr>
              <w:pStyle w:val="Compact"/>
              <w:jc w:val="left"/>
            </w:pPr>
            <w:r>
              <w:t xml:space="preserve">Regulatory &amp; Fiscal Policy Impact Review</w:t>
            </w:r>
          </w:p>
        </w:tc>
        <w:tc>
          <w:tcPr/>
          <w:p>
            <w:pPr>
              <w:pStyle w:val="Compact"/>
              <w:jc w:val="left"/>
            </w:pPr>
            <w:r>
              <w:t xml:space="preserve">Bi-monthly (6 sessions)</w:t>
            </w:r>
          </w:p>
        </w:tc>
        <w:tc>
          <w:tcPr/>
          <w:p>
            <w:pPr>
              <w:pStyle w:val="Compact"/>
              <w:jc w:val="left"/>
            </w:pPr>
            <w:r>
              <w:t xml:space="preserve">$145,000</w:t>
            </w:r>
          </w:p>
        </w:tc>
        <w:tc>
          <w:tcPr/>
          <w:p>
            <w:pPr>
              <w:pStyle w:val="Compact"/>
              <w:jc w:val="left"/>
            </w:pPr>
            <w:r>
              <w:t xml:space="preserve">$870,000</w:t>
            </w:r>
          </w:p>
        </w:tc>
        <w:tc>
          <w:tcPr/>
          <w:p>
            <w:pPr>
              <w:pStyle w:val="Compact"/>
              <w:jc w:val="left"/>
            </w:pPr>
            <w:r>
              <w:t xml:space="preserve">Compliance with national and CABA regulations</w:t>
            </w:r>
          </w:p>
        </w:tc>
      </w:tr>
      <w:tr>
        <w:tc>
          <w:tcPr/>
          <w:p>
            <w:pPr>
              <w:pStyle w:val="Compact"/>
              <w:jc w:val="left"/>
            </w:pPr>
            <w:r>
              <w:t xml:space="preserve">4</w:t>
            </w:r>
          </w:p>
        </w:tc>
        <w:tc>
          <w:tcPr/>
          <w:p>
            <w:pPr>
              <w:pStyle w:val="Compact"/>
              <w:jc w:val="left"/>
            </w:pPr>
            <w:r>
              <w:t xml:space="preserve">Exchange Rate &amp; Currency Risk Advisory (ARS/USD)</w:t>
            </w:r>
          </w:p>
        </w:tc>
        <w:tc>
          <w:tcPr/>
          <w:p>
            <w:pPr>
              <w:pStyle w:val="Compact"/>
              <w:jc w:val="left"/>
            </w:pPr>
            <w:r>
              <w:t xml:space="preserve">Weekly (52 weeks)</w:t>
            </w:r>
          </w:p>
        </w:tc>
        <w:tc>
          <w:tcPr/>
          <w:p>
            <w:pPr>
              <w:pStyle w:val="Compact"/>
              <w:jc w:val="left"/>
            </w:pPr>
            <w:r>
              <w:t xml:space="preserve">$68,000</w:t>
            </w:r>
          </w:p>
        </w:tc>
        <w:tc>
          <w:tcPr/>
          <w:p>
            <w:pPr>
              <w:pStyle w:val="Compact"/>
              <w:jc w:val="left"/>
            </w:pPr>
            <w:r>
              <w:t xml:space="preserve">$3,536,000</w:t>
            </w:r>
          </w:p>
        </w:tc>
        <w:tc>
          <w:tcPr/>
          <w:p>
            <w:pPr>
              <w:pStyle w:val="Compact"/>
              <w:jc w:val="left"/>
            </w:pPr>
            <w:r>
              <w:t xml:space="preserve">Real-time monitoring and hedging strategies</w:t>
            </w:r>
          </w:p>
        </w:tc>
      </w:tr>
      <w:tr>
        <w:tc>
          <w:tcPr/>
          <w:p>
            <w:pPr>
              <w:pStyle w:val="Compact"/>
              <w:jc w:val="left"/>
            </w:pPr>
            <w:r>
              <w:t xml:space="preserve">5</w:t>
            </w:r>
          </w:p>
        </w:tc>
        <w:tc>
          <w:tcPr/>
          <w:p>
            <w:pPr>
              <w:pStyle w:val="Compact"/>
              <w:jc w:val="left"/>
            </w:pPr>
            <w:r>
              <w:t xml:space="preserve">Strategic Economic Planning &amp; Board Advisory Sessions</w:t>
            </w:r>
          </w:p>
        </w:tc>
        <w:tc>
          <w:tcPr/>
          <w:p>
            <w:pPr>
              <w:pStyle w:val="Compact"/>
              <w:jc w:val="left"/>
            </w:pPr>
            <w:r>
              <w:t xml:space="preserve">Monthly (12 sessions)</w:t>
            </w:r>
          </w:p>
        </w:tc>
        <w:tc>
          <w:tcPr/>
          <w:p>
            <w:pPr>
              <w:pStyle w:val="Compact"/>
              <w:jc w:val="left"/>
            </w:pPr>
            <w:r>
              <w:t xml:space="preserve">$210,000</w:t>
            </w:r>
          </w:p>
        </w:tc>
        <w:tc>
          <w:tcPr/>
          <w:p>
            <w:pPr>
              <w:pStyle w:val="Compact"/>
              <w:jc w:val="left"/>
            </w:pPr>
            <w:r>
              <w:t xml:space="preserve">$2,520,000</w:t>
            </w:r>
          </w:p>
        </w:tc>
        <w:tc>
          <w:tcPr/>
          <w:p>
            <w:pPr>
              <w:pStyle w:val="Compact"/>
              <w:jc w:val="left"/>
            </w:pPr>
            <w:r>
              <w:t xml:space="preserve">On-site at client premises in Buenos Aires</w:t>
            </w:r>
          </w:p>
        </w:tc>
      </w:tr>
      <w:tr>
        <w:tc>
          <w:tcPr/>
          <w:p>
            <w:pPr>
              <w:pStyle w:val="Compact"/>
              <w:jc w:val="left"/>
            </w:pPr>
            <w:r>
              <w:t xml:space="preserve">6</w:t>
            </w:r>
          </w:p>
        </w:tc>
        <w:tc>
          <w:tcPr/>
          <w:p>
            <w:pPr>
              <w:pStyle w:val="Compact"/>
              <w:jc w:val="left"/>
            </w:pPr>
            <w:r>
              <w:t xml:space="preserve">Emergency Economic Crisis Response &amp; Contingency Planning</w:t>
            </w:r>
          </w:p>
        </w:tc>
        <w:tc>
          <w:tcPr/>
          <w:p>
            <w:pPr>
              <w:pStyle w:val="Compact"/>
              <w:jc w:val="left"/>
            </w:pPr>
            <w:r>
              <w:t xml:space="preserve">On-demand (up to 80 hours)</w:t>
            </w:r>
          </w:p>
        </w:tc>
        <w:tc>
          <w:tcPr/>
          <w:p>
            <w:pPr>
              <w:pStyle w:val="Compact"/>
              <w:jc w:val="left"/>
            </w:pPr>
            <w:r>
              <w:t xml:space="preserve">$95,000/hr</w:t>
            </w:r>
          </w:p>
        </w:tc>
        <w:tc>
          <w:tcPr/>
          <w:p>
            <w:pPr>
              <w:pStyle w:val="Compact"/>
              <w:jc w:val="left"/>
            </w:pPr>
            <w:r>
              <w:t xml:space="preserve">$7,600,000</w:t>
            </w:r>
          </w:p>
        </w:tc>
        <w:tc>
          <w:tcPr/>
          <w:p>
            <w:pPr>
              <w:pStyle w:val="Compact"/>
              <w:jc w:val="left"/>
            </w:pPr>
            <w:r>
              <w:t xml:space="preserve">Activated only upon written client request</w:t>
            </w:r>
          </w:p>
        </w:tc>
      </w:tr>
      <w:tr>
        <w:tc>
          <w:tcPr/>
          <w:p>
            <w:pPr>
              <w:pStyle w:val="Compact"/>
              <w:jc w:val="left"/>
            </w:pPr>
            <w:r>
              <w:t xml:space="preserve">7</w:t>
            </w:r>
          </w:p>
        </w:tc>
        <w:tc>
          <w:tcPr/>
          <w:p>
            <w:pPr>
              <w:pStyle w:val="Compact"/>
              <w:jc w:val="left"/>
            </w:pPr>
            <w:r>
              <w:t xml:space="preserve">Annual Comprehensive Economic Report &amp; Presentation</w:t>
            </w:r>
          </w:p>
        </w:tc>
        <w:tc>
          <w:tcPr/>
          <w:p>
            <w:pPr>
              <w:pStyle w:val="Compact"/>
              <w:jc w:val="left"/>
            </w:pPr>
            <w:r>
              <w:t xml:space="preserve">One-time (Year-end)</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Full-year review of Argentina Buenos Aires economy</w:t>
            </w:r>
          </w:p>
        </w:tc>
      </w:tr>
      <w:tr>
        <w:tc>
          <w:tcPr>
            <w:gridSpan w:val="4"/>
          </w:tcPr>
          <w:p>
            <w:pPr>
              <w:pStyle w:val="Compact"/>
              <w:jc w:val="left"/>
            </w:pPr>
            <w:r>
              <w:t xml:space="preserve">TOTAL ESTIMATED COST (Before IVA)</w:t>
            </w:r>
          </w:p>
        </w:tc>
        <w:tc>
          <w:tcPr/>
          <w:p>
            <w:pPr>
              <w:pStyle w:val="Compact"/>
              <w:jc w:val="left"/>
            </w:pPr>
            <w:r>
              <w:t xml:space="preserve">$18,476,000</w:t>
            </w:r>
          </w:p>
        </w:tc>
        <w:tc>
          <w:tcPr/>
          <w:p>
            <w:pPr>
              <w:pStyle w:val="Compact"/>
            </w:pPr>
          </w:p>
        </w:tc>
      </w:tr>
      <w:tr>
        <w:tc>
          <w:tcPr>
            <w:gridSpan w:val="4"/>
          </w:tcPr>
          <w:p>
            <w:pPr>
              <w:pStyle w:val="Compact"/>
              <w:jc w:val="left"/>
            </w:pPr>
            <w:r>
              <w:t xml:space="preserve">IVA (21% - Argentine Value Added Tax)</w:t>
            </w:r>
          </w:p>
        </w:tc>
        <w:tc>
          <w:tcPr/>
          <w:p>
            <w:pPr>
              <w:pStyle w:val="Compact"/>
              <w:jc w:val="left"/>
            </w:pPr>
            <w:r>
              <w:t xml:space="preserve">$3,879,960</w:t>
            </w:r>
          </w:p>
        </w:tc>
        <w:tc>
          <w:tcPr/>
          <w:p>
            <w:pPr>
              <w:pStyle w:val="Compact"/>
            </w:pPr>
          </w:p>
        </w:tc>
      </w:tr>
      <w:tr>
        <w:tc>
          <w:tcPr>
            <w:gridSpan w:val="4"/>
          </w:tcPr>
          <w:p>
            <w:pPr>
              <w:pStyle w:val="Compact"/>
              <w:jc w:val="left"/>
            </w:pPr>
            <w:r>
              <w:t xml:space="preserve">GRAND TOTAL (ARS)</w:t>
            </w:r>
          </w:p>
        </w:tc>
        <w:tc>
          <w:tcPr/>
          <w:p>
            <w:pPr>
              <w:pStyle w:val="Compact"/>
              <w:jc w:val="left"/>
            </w:pPr>
            <w:r>
              <w:t xml:space="preserve">$22,355,960</w:t>
            </w:r>
          </w:p>
        </w:tc>
        <w:tc>
          <w:tcPr/>
          <w:p>
            <w:pPr>
              <w:pStyle w:val="Compact"/>
            </w:pPr>
          </w:p>
        </w:tc>
      </w:tr>
    </w:tbl>
    <w:p>
      <w:pPr>
        <w:pStyle w:val="BodyText"/>
      </w:pPr>
      <w:r>
        <w:rPr>
          <w:bCs/>
          <w:b/>
        </w:rPr>
        <w:t xml:space="preserve">Important Note:</w:t>
      </w:r>
      <w:r>
        <w:t xml:space="preserve"> </w:t>
      </w:r>
      <w:r>
        <w:t xml:space="preserve">All monetary values in this</w:t>
      </w:r>
      <w:r>
        <w:t xml:space="preserve"> </w:t>
      </w:r>
      <w:r>
        <w:t xml:space="preserve">Quotation Estimate</w:t>
      </w:r>
      <w:r>
        <w:t xml:space="preserve"> </w:t>
      </w:r>
      <w:r>
        <w:t xml:space="preserve">are expressed in Argentine Pesos (ARS) and are subject to adjustment in the event of a devaluation exceeding 15% of the official exchange rate between the date of issue and the date of service delivery. The</w:t>
      </w:r>
      <w:r>
        <w:t xml:space="preserve"> </w:t>
      </w:r>
      <w:r>
        <w:t xml:space="preserve">Economist</w:t>
      </w:r>
      <w:r>
        <w:t xml:space="preserve"> </w:t>
      </w:r>
      <w:r>
        <w:t xml:space="preserve">reserves the right to issue a revised</w:t>
      </w:r>
      <w:r>
        <w:t xml:space="preserve"> </w:t>
      </w:r>
      <w:r>
        <w:t xml:space="preserve">Quotation Estimate</w:t>
      </w:r>
      <w:r>
        <w:t xml:space="preserve"> </w:t>
      </w:r>
      <w:r>
        <w:t xml:space="preserve">under such circumstances, with no less than 10 business days' prior written notice to the client.</w:t>
      </w:r>
    </w:p>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conditions must be renegotiated in writing.</w:t>
      </w:r>
    </w:p>
    <w:p>
      <w:pPr>
        <w:numPr>
          <w:ilvl w:val="0"/>
          <w:numId w:val="1001"/>
        </w:numPr>
        <w:pStyle w:val="Compact"/>
      </w:pPr>
      <w:r>
        <w:t xml:space="preserve">Payment terms: 50% advance payment upon contract execution and 50% upon completion of the engagement period, payable via bank transfer to the account of Solís &amp; Asociados Económicos S.R.L. in Buenos Aires, Argentina.</w:t>
      </w:r>
    </w:p>
    <w:p>
      <w:pPr>
        <w:numPr>
          <w:ilvl w:val="0"/>
          <w:numId w:val="1001"/>
        </w:numPr>
        <w:pStyle w:val="Compact"/>
      </w:pPr>
      <w:r>
        <w:t xml:space="preserve">The</w:t>
      </w:r>
      <w:r>
        <w:t xml:space="preserve"> </w:t>
      </w:r>
      <w:r>
        <w:t xml:space="preserve">Economist</w:t>
      </w:r>
      <w:r>
        <w:t xml:space="preserve"> </w:t>
      </w:r>
      <w:r>
        <w:t xml:space="preserve">shall maintain full professional confidentiality regarding all data, projections, and strategic information shared by the client in the course of services rendered in</w:t>
      </w:r>
      <w:r>
        <w:t xml:space="preserve"> </w:t>
      </w:r>
      <w:r>
        <w:t xml:space="preserve">Argentina Buenos Aires</w:t>
      </w:r>
      <w:r>
        <w:t xml:space="preserve">.</w:t>
      </w:r>
    </w:p>
    <w:p>
      <w:pPr>
        <w:numPr>
          <w:ilvl w:val="0"/>
          <w:numId w:val="1001"/>
        </w:numPr>
        <w:pStyle w:val="Compact"/>
      </w:pPr>
      <w:r>
        <w:t xml:space="preserve">All intellectual property generated as a direct result of the services described in this</w:t>
      </w:r>
      <w:r>
        <w:t xml:space="preserve"> </w:t>
      </w:r>
      <w:r>
        <w:t xml:space="preserve">Quotation Estimate</w:t>
      </w:r>
      <w:r>
        <w:t xml:space="preserve"> </w:t>
      </w:r>
      <w:r>
        <w:t xml:space="preserve">shall vest in the client upon full payment, subject to the</w:t>
      </w:r>
      <w:r>
        <w:t xml:space="preserve"> </w:t>
      </w:r>
      <w:r>
        <w:t xml:space="preserve">Economist</w:t>
      </w:r>
      <w:r>
        <w:t xml:space="preserve">'s right to reference anonymized findings in academic publications.</w:t>
      </w:r>
    </w:p>
    <w:p>
      <w:pPr>
        <w:numPr>
          <w:ilvl w:val="0"/>
          <w:numId w:val="1001"/>
        </w:numPr>
        <w:pStyle w:val="Compact"/>
      </w:pPr>
      <w:r>
        <w:t xml:space="preserve">Force majeure events, including but not limited to national economic emergencies declared by the Argentine government, strikes, or regulatory suspensions affecting the City of Buenos Aires, shall suspend obligations under this agreement without penalty to either party.</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contract shall be resolved through binding arbitration in Buenos Aires, Argentina, in accordance with the rules of the Argentine Chamber of Commerce.</w:t>
      </w:r>
    </w:p>
    <w:p>
      <w:pPr>
        <w:numPr>
          <w:ilvl w:val="0"/>
          <w:numId w:val="1001"/>
        </w:numPr>
        <w:pStyle w:val="Compact"/>
      </w:pPr>
      <w:r>
        <w:t xml:space="preserve">The</w:t>
      </w:r>
      <w:r>
        <w:t xml:space="preserve"> </w:t>
      </w:r>
      <w:r>
        <w:t xml:space="preserve">Economist</w:t>
      </w:r>
      <w:r>
        <w:t xml:space="preserve"> </w:t>
      </w:r>
      <w:r>
        <w:t xml:space="preserve">is required to hold valid professional registration with the relevant Argentine professional body and to maintain professional liability insurance with a minimum coverage of ARS 50,000,000 for the duration of the engagement.</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set forth in this</w:t>
      </w:r>
      <w:r>
        <w:t xml:space="preserve"> </w:t>
      </w:r>
      <w:r>
        <w:t xml:space="preserve">Quotation Estimate</w:t>
      </w:r>
      <w:r>
        <w:t xml:space="preserve"> </w:t>
      </w:r>
      <w:r>
        <w:t xml:space="preserve">for the engagement of the</w:t>
      </w:r>
      <w:r>
        <w:t xml:space="preserve"> </w:t>
      </w:r>
      <w:r>
        <w:t xml:space="preserve">Economist</w:t>
      </w:r>
      <w:r>
        <w:t xml:space="preserve"> </w:t>
      </w:r>
      <w:r>
        <w:t xml:space="preserve">to provide professional economic advisory services in</w:t>
      </w:r>
      <w:r>
        <w:t xml:space="preserve"> </w:t>
      </w:r>
      <w:r>
        <w:t xml:space="preserve">Argentina Buenos Aires</w:t>
      </w:r>
      <w:r>
        <w:t xml:space="preserve">. This document constitutes a binding offer and, upon countersignature, forms the basis of the professional services contract.</w:t>
      </w:r>
    </w:p>
    <w:p>
      <w:pPr>
        <w:pStyle w:val="BodyText"/>
      </w:pPr>
      <w:r>
        <w:rPr>
          <w:bCs/>
          <w:b/>
        </w:rPr>
        <w:t xml:space="preserve">For the Service Provider:</w:t>
      </w:r>
    </w:p>
    <w:p>
      <w:pPr>
        <w:pStyle w:val="BodyText"/>
      </w:pPr>
      <w:r>
        <w:t xml:space="preserve">Dr. Mariana E. Solís</w:t>
      </w:r>
      <w:r>
        <w:br/>
      </w:r>
      <w:r>
        <w:t xml:space="preserve">Senior Economist &amp; Managing Director</w:t>
      </w:r>
      <w:r>
        <w:br/>
      </w:r>
      <w:r>
        <w:t xml:space="preserve">Solís &amp; Asociados Económicos S.R.L.</w:t>
      </w:r>
    </w:p>
    <w:p>
      <w:pPr>
        <w:pStyle w:val="BodyText"/>
      </w:pPr>
      <w:r>
        <w:t xml:space="preserve">Signature &amp; Date</w:t>
      </w:r>
    </w:p>
    <w:p>
      <w:pPr>
        <w:pStyle w:val="BodyText"/>
      </w:pPr>
      <w:r>
        <w:rPr>
          <w:bCs/>
          <w:b/>
        </w:rPr>
        <w:t xml:space="preserve">For the Client:</w:t>
      </w:r>
    </w:p>
    <w:p>
      <w:pPr>
        <w:pStyle w:val="BodyText"/>
      </w:pPr>
      <w:r>
        <w:t xml:space="preserve">[Authorized Representative Name]</w:t>
      </w:r>
      <w:r>
        <w:br/>
      </w:r>
      <w:r>
        <w:t xml:space="preserve">[Title / Position]</w:t>
      </w:r>
      <w:r>
        <w:br/>
      </w:r>
      <w:r>
        <w:t xml:space="preserve">[Company Name]</w:t>
      </w:r>
    </w:p>
    <w:p>
      <w:pPr>
        <w:pStyle w:val="BodyText"/>
      </w:pPr>
      <w:r>
        <w:t xml:space="preserve">Signature &amp; Date</w:t>
      </w:r>
    </w:p>
    <w:p>
      <w:pPr>
        <w:pStyle w:val="BodyText"/>
      </w:pPr>
      <w:r>
        <w:t xml:space="preserve">This</w:t>
      </w:r>
      <w:r>
        <w:t xml:space="preserve"> </w:t>
      </w:r>
      <w:r>
        <w:t xml:space="preserve">Quotation Estimate</w:t>
      </w:r>
      <w:r>
        <w:t xml:space="preserve"> </w:t>
      </w:r>
      <w:r>
        <w:t xml:space="preserve">(Ref. QE-BA-2025-04782) was prepared exclusively for the client identified herein and may not be reproduced or distributed without prior written consent. All services are to be performed in</w:t>
      </w:r>
      <w:r>
        <w:t xml:space="preserve"> </w:t>
      </w:r>
      <w:r>
        <w:t xml:space="preserve">Argentina Buenos Aires</w:t>
      </w:r>
      <w:r>
        <w:t xml:space="preserve"> </w:t>
      </w:r>
      <w:r>
        <w:t xml:space="preserve">unless otherwise agreed in writing. Document generated on June 12, 2025.</w:t>
      </w:r>
    </w:p>
    <w:p>
      <w:pPr>
        <w:pStyle w:val="BodyText"/>
      </w:pPr>
      <w:r>
        <w:t xml:space="preserve">© 2025 Solís &amp; Asociados Económicos S.R.L. — Buenos Aires, Argentina.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Argentina Buenos Aires</dc:title>
  <dc:creator/>
  <dc:language>en</dc:language>
  <cp:keywords/>
  <dcterms:created xsi:type="dcterms:W3CDTF">2026-10-10T07:06:25Z</dcterms:created>
  <dcterms:modified xsi:type="dcterms:W3CDTF">2026-10-10T07:06:25Z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