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Economist Services — Argentina Córdoba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QE-ECO-CBA-2025-0417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Andrés M. Villanueva, Senior Economist — Villanueva &amp; Asociados Económicos S.R.L.</w:t>
            </w:r>
          </w:p>
        </w:tc>
      </w:tr>
      <w:tr>
        <w:tc>
          <w:tcPr/>
          <w:p>
            <w:pPr>
              <w:pStyle w:val="Compact"/>
              <w:jc w:val="left"/>
            </w:pPr>
            <w:r>
              <w:t xml:space="preserve">Service Location</w:t>
            </w:r>
          </w:p>
        </w:tc>
        <w:tc>
          <w:tcPr/>
          <w:p>
            <w:pPr>
              <w:pStyle w:val="Compact"/>
              <w:jc w:val="left"/>
            </w:pPr>
            <w:r>
              <w:t xml:space="preserve">Córdoba, Argentina (Province of Córdoba, Republic of Argentina)</w:t>
            </w:r>
          </w:p>
        </w:tc>
      </w:tr>
      <w:tr>
        <w:tc>
          <w:tcPr/>
          <w:p>
            <w:pPr>
              <w:pStyle w:val="Compact"/>
              <w:jc w:val="left"/>
            </w:pPr>
            <w:r>
              <w:t xml:space="preserve">Currency</w:t>
            </w:r>
          </w:p>
        </w:tc>
        <w:tc>
          <w:tcPr/>
          <w:p>
            <w:pPr>
              <w:pStyle w:val="Compact"/>
              <w:jc w:val="left"/>
            </w:pPr>
            <w:r>
              <w:t xml:space="preserve">Argentine Peso (ARS) / US Dollar (USD) — dual pricing</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Grupo Industrial del Centro S.A.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Address</w:t>
            </w:r>
          </w:p>
        </w:tc>
        <w:tc>
          <w:tcPr/>
          <w:p>
            <w:pPr>
              <w:pStyle w:val="Compact"/>
              <w:jc w:val="left"/>
            </w:pPr>
            <w:r>
              <w:t xml:space="preserve">Av. Vélez Sarsfield 1250, Piso 8, Córdoba Capital, Argentina</w:t>
            </w:r>
          </w:p>
        </w:tc>
      </w:tr>
      <w:tr>
        <w:tc>
          <w:tcPr/>
          <w:p>
            <w:pPr>
              <w:pStyle w:val="Compact"/>
              <w:jc w:val="left"/>
            </w:pPr>
            <w:r>
              <w:t xml:space="preserve">Contact Person</w:t>
            </w:r>
          </w:p>
        </w:tc>
        <w:tc>
          <w:tcPr/>
          <w:p>
            <w:pPr>
              <w:pStyle w:val="Compact"/>
              <w:jc w:val="left"/>
            </w:pPr>
            <w:r>
              <w:t xml:space="preserve">Ing. Laura Pérez — Director of Strategic Planning</w:t>
            </w:r>
          </w:p>
        </w:tc>
      </w:tr>
      <w:tr>
        <w:tc>
          <w:tcPr/>
          <w:p>
            <w:pPr>
              <w:pStyle w:val="Compact"/>
              <w:jc w:val="left"/>
            </w:pPr>
            <w:r>
              <w:t xml:space="preserve">Email</w:t>
            </w:r>
          </w:p>
        </w:tc>
        <w:tc>
          <w:tcPr/>
          <w:p>
            <w:pPr>
              <w:pStyle w:val="Compact"/>
              <w:jc w:val="left"/>
            </w:pPr>
            <w:r>
              <w:t xml:space="preserve">lperez@grupocentro.com.ar</w:t>
            </w:r>
          </w:p>
        </w:tc>
      </w:tr>
    </w:tbl>
    <w:bookmarkEnd w:id="21"/>
    <w:bookmarkStart w:id="22" w:name="X2c5f055a06fc768d3fea5fedbdc845e5a560a72"/>
    <w:p>
      <w:pPr>
        <w:pStyle w:val="Heading2"/>
      </w:pPr>
      <w:r>
        <w:t xml:space="preserve">2. Scope of Services — Economist Engagement in Argentina Córdoba</w:t>
      </w:r>
    </w:p>
    <w:p>
      <w:pPr>
        <w:pStyle w:val="FirstParagraph"/>
      </w:pPr>
      <w:r>
        <w:t xml:space="preserve">This</w:t>
      </w:r>
      <w:r>
        <w:t xml:space="preserve"> </w:t>
      </w:r>
      <w:r>
        <w:t xml:space="preserve">Quotation Estimate</w:t>
      </w:r>
      <w:r>
        <w:t xml:space="preserve"> </w:t>
      </w:r>
      <w:r>
        <w:t xml:space="preserve">outlines the comprehensive professional services to be rendered by a certified</w:t>
      </w:r>
      <w:r>
        <w:t xml:space="preserve"> </w:t>
      </w:r>
      <w:r>
        <w:t xml:space="preserve">Economist</w:t>
      </w:r>
      <w:r>
        <w:t xml:space="preserve"> </w:t>
      </w:r>
      <w:r>
        <w:t xml:space="preserve">specializing in macroeconomic analysis, fiscal policy, and regional economic development within the province of</w:t>
      </w:r>
      <w:r>
        <w:t xml:space="preserve"> </w:t>
      </w:r>
      <w:r>
        <w:t xml:space="preserve">Argentina Córdoba</w:t>
      </w:r>
      <w:r>
        <w:t xml:space="preserve">. The engagement is designed to support the client's strategic decision-making processes in alignment with the current economic landscape of the Córdoba region, including but not limited to inflationary pressures, monetary policy adjustments by the Banco Central de la República Argentina, and provincial fiscal frameworks.</w:t>
      </w:r>
    </w:p>
    <w:p>
      <w:pPr>
        <w:pStyle w:val="BodyText"/>
      </w:pPr>
      <w:r>
        <w:t xml:space="preserve">The</w:t>
      </w:r>
      <w:r>
        <w:t xml:space="preserve"> </w:t>
      </w:r>
      <w:r>
        <w:t xml:space="preserve">Economist</w:t>
      </w:r>
      <w:r>
        <w:t xml:space="preserve"> </w:t>
      </w:r>
      <w:r>
        <w:t xml:space="preserve">assigned to this project will hold a Doctorate in Economics from the Universidad Nacional de Córdoba (UNC) and a minimum of fifteen (15) years of professional experience in Argentine public and private sector economic consulting. All deliverables will be produced in accordance with the professional standards established by the Colegio de Economistas de Córdoba and applicable regulations from the Autoridad Federal de Servicios Financieros (AFIP).</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3.1</w:t>
            </w:r>
          </w:p>
        </w:tc>
        <w:tc>
          <w:tcPr/>
          <w:p>
            <w:pPr>
              <w:pStyle w:val="Compact"/>
              <w:jc w:val="left"/>
            </w:pPr>
            <w:r>
              <w:t xml:space="preserve">Macroeconomic Analysis Report for the Province of Córdoba, Argentina — including GDP projections, inflation modeling, and labor market assessment for the 2025–2027 period.</w:t>
            </w:r>
          </w:p>
        </w:tc>
        <w:tc>
          <w:tcPr/>
          <w:p>
            <w:pPr>
              <w:pStyle w:val="Compact"/>
              <w:jc w:val="left"/>
            </w:pPr>
            <w:r>
              <w:t xml:space="preserve">1 report (40 pages)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3.2</w:t>
            </w:r>
          </w:p>
        </w:tc>
        <w:tc>
          <w:tcPr/>
          <w:p>
            <w:pPr>
              <w:pStyle w:val="Compact"/>
              <w:jc w:val="left"/>
            </w:pPr>
            <w:r>
              <w:t xml:space="preserve">Fiscal Policy Advisory — Analysis of provincial tax structures, budget execution, and debt sustainability specific to Argentina Córdoba's municipal and provincial governments.</w:t>
            </w:r>
          </w:p>
        </w:tc>
        <w:tc>
          <w:tcPr/>
          <w:p>
            <w:pPr>
              <w:pStyle w:val="Compact"/>
              <w:jc w:val="left"/>
            </w:pPr>
            <w:r>
              <w:t xml:space="preserve">3 months (ongoing)</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3.3</w:t>
            </w:r>
          </w:p>
        </w:tc>
        <w:tc>
          <w:tcPr/>
          <w:p>
            <w:pPr>
              <w:pStyle w:val="Compact"/>
              <w:jc w:val="left"/>
            </w:pPr>
            <w:r>
              <w:t xml:space="preserve">Monetary &amp; Exchange Rate Impact Study — Assessment of the effect of the Banco Central's monetary policy and the crawling peg regime on the client's operations in Córdoba.</w:t>
            </w:r>
          </w:p>
        </w:tc>
        <w:tc>
          <w:tcPr/>
          <w:p>
            <w:pPr>
              <w:pStyle w:val="Compact"/>
              <w:jc w:val="left"/>
            </w:pPr>
            <w:r>
              <w:t xml:space="preserve">1 report (30 pages)</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3.4</w:t>
            </w:r>
          </w:p>
        </w:tc>
        <w:tc>
          <w:tcPr/>
          <w:p>
            <w:pPr>
              <w:pStyle w:val="Compact"/>
              <w:jc w:val="left"/>
            </w:pPr>
            <w:r>
              <w:t xml:space="preserve">On-site Consultation — Weekly meetings with the client's executive team at their Córdoba Capital offices, including presentation of findings and Q&amp;A sessions.</w:t>
            </w:r>
          </w:p>
        </w:tc>
        <w:tc>
          <w:tcPr/>
          <w:p>
            <w:pPr>
              <w:pStyle w:val="Compact"/>
              <w:jc w:val="left"/>
            </w:pPr>
            <w:r>
              <w:t xml:space="preserve">12 sessions (3 hrs each)</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3.5</w:t>
            </w:r>
          </w:p>
        </w:tc>
        <w:tc>
          <w:tcPr/>
          <w:p>
            <w:pPr>
              <w:pStyle w:val="Compact"/>
              <w:jc w:val="left"/>
            </w:pPr>
            <w:r>
              <w:t xml:space="preserve">Regional Economic Development Feasibility Study — Evaluation of investment opportunities in the Córdoba industrial corridor (Córdoba, Villa María, Alta Gracia, and San Francisco municipalities).</w:t>
            </w:r>
          </w:p>
        </w:tc>
        <w:tc>
          <w:tcPr/>
          <w:p>
            <w:pPr>
              <w:pStyle w:val="Compact"/>
              <w:jc w:val="left"/>
            </w:pPr>
            <w:r>
              <w:t xml:space="preserve">1 report (55 pages)</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3.6</w:t>
            </w:r>
          </w:p>
        </w:tc>
        <w:tc>
          <w:tcPr/>
          <w:p>
            <w:pPr>
              <w:pStyle w:val="Compact"/>
              <w:jc w:val="left"/>
            </w:pPr>
            <w:r>
              <w:t xml:space="preserve">Regulatory Compliance Review — Verification of the client's economic activities against current Argentine national and Córdoba provincial regulations, including Ley de Inversiones and provincial incentives.</w:t>
            </w:r>
          </w:p>
        </w:tc>
        <w:tc>
          <w:tcPr/>
          <w:p>
            <w:pPr>
              <w:pStyle w:val="Compact"/>
              <w:jc w:val="left"/>
            </w:pPr>
            <w:r>
              <w:t xml:space="preserve">1 comprehensive review</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3.7</w:t>
            </w:r>
          </w:p>
        </w:tc>
        <w:tc>
          <w:tcPr/>
          <w:p>
            <w:pPr>
              <w:pStyle w:val="Compact"/>
              <w:jc w:val="left"/>
            </w:pPr>
            <w:r>
              <w:t xml:space="preserve">Emergency Economic Advisory — On-call availability for urgent economic crises, sudden policy changes, or market disruptions affecting operations in Argentina Córdoba.</w:t>
            </w:r>
          </w:p>
        </w:tc>
        <w:tc>
          <w:tcPr/>
          <w:p>
            <w:pPr>
              <w:pStyle w:val="Compact"/>
              <w:jc w:val="left"/>
            </w:pPr>
            <w:r>
              <w:t xml:space="preserve">12-month retainer</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TOTAL ESTIMATED COST (before IVA 21%)</w:t>
            </w:r>
          </w:p>
        </w:tc>
        <w:tc>
          <w:tcPr/>
          <w:p>
            <w:pPr>
              <w:pStyle w:val="Compact"/>
              <w:jc w:val="left"/>
            </w:pPr>
            <w:r>
              <w:t xml:space="preserve">19,780,000</w:t>
            </w:r>
          </w:p>
        </w:tc>
      </w:tr>
      <w:tr>
        <w:tc>
          <w:tcPr>
            <w:gridSpan w:val="4"/>
          </w:tcPr>
          <w:p>
            <w:pPr>
              <w:pStyle w:val="Compact"/>
              <w:jc w:val="left"/>
            </w:pPr>
            <w:r>
              <w:t xml:space="preserve">IVA (21%)</w:t>
            </w:r>
          </w:p>
        </w:tc>
        <w:tc>
          <w:tcPr/>
          <w:p>
            <w:pPr>
              <w:pStyle w:val="Compact"/>
              <w:jc w:val="left"/>
            </w:pPr>
            <w:r>
              <w:t xml:space="preserve">4,153,800</w:t>
            </w:r>
          </w:p>
        </w:tc>
      </w:tr>
      <w:tr>
        <w:tc>
          <w:tcPr>
            <w:gridSpan w:val="4"/>
          </w:tcPr>
          <w:p>
            <w:pPr>
              <w:pStyle w:val="Compact"/>
              <w:jc w:val="left"/>
            </w:pPr>
            <w:r>
              <w:t xml:space="preserve">GRAND TOTAL</w:t>
            </w:r>
          </w:p>
        </w:tc>
        <w:tc>
          <w:tcPr/>
          <w:p>
            <w:pPr>
              <w:pStyle w:val="Compact"/>
              <w:jc w:val="left"/>
            </w:pPr>
            <w:r>
              <w:t xml:space="preserve">23,933,800 ARS</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provided in Argentine Pesos. An equivalent quotation in US Dollars may be issued upon request, calculated at the official exchange rate published by the Banco Central de la República Argentina on the date of contract execution. All prices are subject to revision if the inflation rate in Argentina Córdoba exceeds 15% during the engagement period, as per the contractual adjustment clause.</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remains valid for thirty (30) calendar days from the date of issue. After this period, pricing may be adjusted to reflect changes in the Argentine economic environment, including inflation, exchange rate volatility, and labor cost indices in Córdoba.</w:t>
      </w:r>
    </w:p>
    <w:p>
      <w:pPr>
        <w:pStyle w:val="BodyText"/>
      </w:pPr>
      <w:r>
        <w:rPr>
          <w:bCs/>
          <w:b/>
        </w:rPr>
        <w:t xml:space="preserve">4.2 Payment Terms:</w:t>
      </w:r>
      <w:r>
        <w:t xml:space="preserve"> </w:t>
      </w:r>
      <w:r>
        <w:t xml:space="preserve">Payment shall be made in three (3) equal installments: 40% upon contract signing, 30% upon delivery of the mid-term deliverables, and 30% upon final delivery and acceptance of all reports. Payments shall be made via bank transfer to the account of Villanueva &amp; Asociados Económicos S.R.L., Banco de la Nación Argentina, Sucursal Córdoba.</w:t>
      </w:r>
    </w:p>
    <w:p>
      <w:pPr>
        <w:pStyle w:val="BodyText"/>
      </w:pPr>
      <w:r>
        <w:rPr>
          <w:bCs/>
          <w:b/>
        </w:rPr>
        <w:t xml:space="preserve">4.3 Confidentiality:</w:t>
      </w:r>
      <w:r>
        <w:t xml:space="preserve"> </w:t>
      </w:r>
      <w:r>
        <w:t xml:space="preserve">The Economist and all associated personnel shall maintain strict confidentiality regarding all data, financial information, and strategic plans disclosed by the client. This obligation survives the termination of the engagement for a period of five (5) years.</w:t>
      </w:r>
    </w:p>
    <w:p>
      <w:pPr>
        <w:pStyle w:val="BodyText"/>
      </w:pPr>
      <w:r>
        <w:rPr>
          <w:bCs/>
          <w:b/>
        </w:rPr>
        <w:t xml:space="preserve">4.4 Intellectual Property:</w:t>
      </w:r>
      <w:r>
        <w:t xml:space="preserve"> </w:t>
      </w:r>
      <w:r>
        <w:t xml:space="preserve">All reports, analyses, and deliverables produced under this Quotation Estimate shall become the exclusive property of the client upon full payment. The Economist retains the right to use anonymized, aggregated data for academic publication at the Universidad Nacional de Córdoba.</w:t>
      </w:r>
    </w:p>
    <w:p>
      <w:pPr>
        <w:pStyle w:val="BodyText"/>
      </w:pPr>
      <w:r>
        <w:rPr>
          <w:bCs/>
          <w:b/>
        </w:rPr>
        <w:t xml:space="preserve">4.5 Termination:</w:t>
      </w:r>
      <w:r>
        <w:t xml:space="preserve"> </w:t>
      </w:r>
      <w:r>
        <w:t xml:space="preserve">Either party may terminate this engagement with thirty (30) days' written notice. In the event of early termination, the client shall be liable for all services rendered up to the date of termination, as itemized in this Quotation Estimate.</w:t>
      </w:r>
    </w:p>
    <w:p>
      <w:pPr>
        <w:pStyle w:val="BodyText"/>
      </w:pPr>
      <w:r>
        <w:rPr>
          <w:bCs/>
          <w:b/>
        </w:rPr>
        <w:t xml:space="preserve">4.6 Governing Law:</w:t>
      </w:r>
      <w:r>
        <w:t xml:space="preserve"> </w:t>
      </w:r>
      <w:r>
        <w:t xml:space="preserve">This agreement shall be governed by the laws of the Province of Córdoba, Argentina, and the national laws of the Argentine Republic. Any disputes shall be resolved by the competent commercial courts of Córdoba Capital.</w:t>
      </w:r>
    </w:p>
    <w:p>
      <w:pPr>
        <w:pStyle w:val="BodyText"/>
      </w:pPr>
      <w:r>
        <w:rPr>
          <w:bCs/>
          <w:b/>
        </w:rPr>
        <w:t xml:space="preserve">4.7 Professional Liability:</w:t>
      </w:r>
      <w:r>
        <w:t xml:space="preserve"> </w:t>
      </w:r>
      <w:r>
        <w:t xml:space="preserve">The Economist shall carry professional liability insurance with a minimum coverage of ARS 50,000,000, as required by the Colegio de Economistas de Córdoba. A certificate of insurance shall be provided upon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Economist</w:t>
      </w:r>
      <w:r>
        <w:t xml:space="preserve"> </w:t>
      </w:r>
      <w:r>
        <w:t xml:space="preserve">in the services described for the</w:t>
      </w:r>
      <w:r>
        <w:t xml:space="preserve"> </w:t>
      </w:r>
      <w:r>
        <w:t xml:space="preserve">Argentina Córdoba</w:t>
      </w:r>
      <w:r>
        <w:t xml:space="preserve"> </w:t>
      </w:r>
      <w:r>
        <w:t xml:space="preserve">region.</w:t>
      </w:r>
    </w:p>
    <w:p>
      <w:pPr>
        <w:pStyle w:val="BodyText"/>
      </w:pPr>
      <w:r>
        <w:rPr>
          <w:bCs/>
          <w:b/>
        </w:rPr>
        <w:t xml:space="preserve">For the Provider</w:t>
      </w:r>
      <w:r>
        <w:br/>
      </w:r>
      <w:r>
        <w:t xml:space="preserve">Andrés M. Villanueva</w:t>
      </w:r>
      <w:r>
        <w:br/>
      </w:r>
      <w:r>
        <w:t xml:space="preserve">Senior Economist &amp; Managing Partner</w:t>
      </w:r>
      <w:r>
        <w:br/>
      </w:r>
      <w:r>
        <w:t xml:space="preserve">Villanueva &amp; Asociados Económicos S.R.L.</w:t>
      </w:r>
      <w:r>
        <w:br/>
      </w:r>
      <w:r>
        <w:t xml:space="preserve">Córdoba, Argentina</w:t>
      </w:r>
    </w:p>
    <w:p>
      <w:pPr>
        <w:pStyle w:val="BodyText"/>
      </w:pPr>
      <w:r>
        <w:rPr>
          <w:bCs/>
          <w:b/>
        </w:rPr>
        <w:t xml:space="preserve">For the Client</w:t>
      </w:r>
      <w:r>
        <w:br/>
      </w:r>
      <w:r>
        <w:t xml:space="preserve">Ing. Laura Pérez</w:t>
      </w:r>
      <w:r>
        <w:br/>
      </w:r>
      <w:r>
        <w:t xml:space="preserve">Director of Strategic Planning</w:t>
      </w:r>
      <w:r>
        <w:br/>
      </w:r>
      <w:r>
        <w:t xml:space="preserve">Grupo Industrial del Centro S.A.</w:t>
      </w:r>
      <w:r>
        <w:br/>
      </w:r>
      <w:r>
        <w:t xml:space="preserve">Córdoba Capital, Argentina</w:t>
      </w:r>
    </w:p>
    <w:p>
      <w:pPr>
        <w:pStyle w:val="BodyText"/>
      </w:pPr>
      <w:r>
        <w:rPr>
          <w:bCs/>
          <w:b/>
        </w:rPr>
        <w:t xml:space="preserve">Villanueva &amp; Asociados Económicos S.R.L.</w:t>
      </w:r>
      <w:r>
        <w:t xml:space="preserve"> </w:t>
      </w:r>
      <w:r>
        <w:t xml:space="preserve">— Av. Hipólito Yrigoyen 450, Piso 3, Córdoba Capital, Argentina</w:t>
      </w:r>
      <w:r>
        <w:br/>
      </w:r>
      <w:r>
        <w:t xml:space="preserve">Tel: +54 (351) 422-8890 | Email: contacto@villanuevaeco.com.ar | CUIT: 30-69876543-2</w:t>
      </w:r>
      <w:r>
        <w:br/>
      </w:r>
      <w:r>
        <w:t xml:space="preserve">Registered with the Colegio de Economistas de Córdoba — Matícula Nº 4521</w:t>
      </w:r>
      <w:r>
        <w:br/>
      </w:r>
      <w:r>
        <w:rPr>
          <w:iCs/>
          <w:i/>
        </w:rPr>
        <w:t xml:space="preserve">This Quotation Estimate document is generated for the exclusive use of the named client and is not transferable. Document ID: QE-ECO-CBA-2025-0417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Argentina Córdoba</dc:title>
  <dc:creator/>
  <dc:language>en</dc:language>
  <cp:keywords/>
  <dcterms:created xsi:type="dcterms:W3CDTF">2026-10-10T05:53:14Z</dcterms:created>
  <dcterms:modified xsi:type="dcterms:W3CDTF">2026-10-10T05:53:14Z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