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9" w:name="quotation-estimate"/>
    <w:p>
      <w:pPr>
        <w:pStyle w:val="Heading1"/>
      </w:pPr>
      <w:r>
        <w:t xml:space="preserve">Quotation Estimate</w:t>
      </w:r>
    </w:p>
    <w:p>
      <w:pPr>
        <w:pStyle w:val="FirstParagraph"/>
      </w:pPr>
      <w:r>
        <w:t xml:space="preserve">Economist Professional Services</w:t>
      </w:r>
      <w:r>
        <w:t xml:space="preserve"> </w:t>
      </w:r>
      <w:r>
        <w:t xml:space="preserve">Australia Melbourne</w:t>
      </w:r>
    </w:p>
    <w:bookmarkStart w:id="20" w:name="meridian-economic-advisory-pty-ltd"/>
    <w:p>
      <w:pPr>
        <w:pStyle w:val="Heading3"/>
      </w:pPr>
      <w:r>
        <w:t xml:space="preserve">Meridian Economic Advisory Pty Ltd</w:t>
      </w:r>
    </w:p>
    <w:p>
      <w:pPr>
        <w:pStyle w:val="FirstParagraph"/>
      </w:pPr>
      <w:r>
        <w:t xml:space="preserve">Level 12, 333 Collins Street</w:t>
      </w:r>
      <w:r>
        <w:br/>
      </w:r>
      <w:r>
        <w:t xml:space="preserve">Melbourne, Victoria 3000</w:t>
      </w:r>
      <w:r>
        <w:br/>
      </w:r>
      <w:r>
        <w:t xml:space="preserve">Australia Melbourne</w:t>
      </w:r>
    </w:p>
    <w:p>
      <w:pPr>
        <w:pStyle w:val="BodyText"/>
      </w:pPr>
      <w:r>
        <w:t xml:space="preserve">ABN: 48 217 654 390</w:t>
      </w:r>
      <w:r>
        <w:br/>
      </w:r>
      <w:r>
        <w:t xml:space="preserve">Phone: +61 3 9620 4410</w:t>
      </w:r>
      <w:r>
        <w:br/>
      </w:r>
      <w:r>
        <w:t xml:space="preserve">Email: enquiries@meridianecon.com.au</w:t>
      </w:r>
    </w:p>
    <w:bookmarkEnd w:id="20"/>
    <w:bookmarkStart w:id="21" w:name="prepared-for"/>
    <w:p>
      <w:pPr>
        <w:pStyle w:val="Heading3"/>
      </w:pPr>
      <w:r>
        <w:t xml:space="preserve">Prepared For:</w:t>
      </w:r>
    </w:p>
    <w:p>
      <w:pPr>
        <w:pStyle w:val="FirstParagraph"/>
      </w:pPr>
      <w:r>
        <w:t xml:space="preserve">Victoria State Infrastructure Authority</w:t>
      </w:r>
      <w:r>
        <w:br/>
      </w:r>
      <w:r>
        <w:t xml:space="preserve">100 St Kilda Road</w:t>
      </w:r>
      <w:r>
        <w:br/>
      </w:r>
      <w:r>
        <w:t xml:space="preserve">Melbourne, Victoria 3004</w:t>
      </w:r>
      <w:r>
        <w:br/>
      </w:r>
      <w:r>
        <w:t xml:space="preserve">Australia Melbourne</w:t>
      </w:r>
    </w:p>
    <w:p>
      <w:pPr>
        <w:pStyle w:val="BodyText"/>
      </w:pPr>
      <w:r>
        <w:t xml:space="preserve">Attention: Dr. Sarah Whitfield, Chief Financial Officer</w:t>
      </w:r>
    </w:p>
    <w:bookmarkEnd w:id="21"/>
    <w:p>
      <w:pPr>
        <w:pStyle w:val="BodyText"/>
      </w:pPr>
      <w:r>
        <w:rPr>
          <w:bCs/>
          <w:b/>
        </w:rPr>
        <w:t xml:space="preserve">Quotation Estimate Reference:</w:t>
      </w:r>
      <w:r>
        <w:t xml:space="preserve"> </w:t>
      </w:r>
      <w:r>
        <w:t xml:space="preserve">MEA-2025-04871</w:t>
      </w:r>
    </w:p>
    <w:p>
      <w:pPr>
        <w:pStyle w:val="BodyText"/>
      </w:pPr>
      <w:r>
        <w:rPr>
          <w:bCs/>
          <w:b/>
        </w:rPr>
        <w:t xml:space="preserve">Date of Issue:</w:t>
      </w:r>
      <w:r>
        <w:t xml:space="preserve"> </w:t>
      </w:r>
      <w:r>
        <w:t xml:space="preserve">14 June 2025</w:t>
      </w:r>
    </w:p>
    <w:p>
      <w:pPr>
        <w:pStyle w:val="BodyText"/>
      </w:pPr>
      <w:r>
        <w:rPr>
          <w:bCs/>
          <w:b/>
        </w:rPr>
        <w:t xml:space="preserve">Quotation Estimate Valid Until:</w:t>
      </w:r>
      <w:r>
        <w:t xml:space="preserve"> </w:t>
      </w:r>
      <w:r>
        <w:t xml:space="preserve">14 September 2025 (90 days)</w:t>
      </w:r>
    </w:p>
    <w:p>
      <w:pPr>
        <w:pStyle w:val="BodyText"/>
      </w:pPr>
      <w:r>
        <w:rPr>
          <w:bCs/>
          <w:b/>
        </w:rPr>
        <w:t xml:space="preserve">Service Location:</w:t>
      </w:r>
      <w:r>
        <w:t xml:space="preserve"> </w:t>
      </w:r>
      <w:r>
        <w:t xml:space="preserve">Australia Melbourne, Victoria</w:t>
      </w:r>
    </w:p>
    <w:p>
      <w:pPr>
        <w:pStyle w:val="BodyText"/>
      </w:pPr>
      <w:r>
        <w:rPr>
          <w:bCs/>
          <w:b/>
        </w:rPr>
        <w:t xml:space="preserve">Engagement Type:</w:t>
      </w:r>
      <w:r>
        <w:t xml:space="preserve"> </w:t>
      </w:r>
      <w:r>
        <w:t xml:space="preserve">Retained Economist Advisory Services</w:t>
      </w:r>
    </w:p>
    <w:bookmarkStart w:id="22" w:name="executive-summary"/>
    <w:p>
      <w:pPr>
        <w:pStyle w:val="Heading2"/>
      </w:pPr>
      <w:r>
        <w:t xml:space="preserve">1. Executive Summary</w:t>
      </w:r>
    </w:p>
    <w:p>
      <w:pPr>
        <w:pStyle w:val="FirstParagraph"/>
      </w:pPr>
      <w:r>
        <w:t xml:space="preserve">This Quotation Estimate is issued by Meridian Economic Advisory Pty Ltd in response to the formal request for professional Economist services in Australia Melbourne. The purpose of this Quotation Estimate is to outline the full scope, deliverables, and associated costs for engaging a senior Economist to provide macroeconomic analysis, fiscal policy modelling, and infrastructure investment appraisal for the Victoria State Infrastructure Authority. All services described in this Quotation Estimate will be delivered within the Australia Melbourne metropolitan region and in strict compliance with Australian economic regulatory frameworks, including those administered by the Australian Bureau of Statistics and the Reserve Bank of Australia.</w:t>
      </w:r>
    </w:p>
    <w:bookmarkEnd w:id="22"/>
    <w:bookmarkStart w:id="23" w:name="scope-of-services-economist-engagement"/>
    <w:p>
      <w:pPr>
        <w:pStyle w:val="Heading2"/>
      </w:pPr>
      <w:r>
        <w:t xml:space="preserve">2. Scope of Services – Economist Engagement</w:t>
      </w:r>
    </w:p>
    <w:p>
      <w:pPr>
        <w:pStyle w:val="FirstParagraph"/>
      </w:pPr>
      <w:r>
        <w:t xml:space="preserve">The Economist engaged under this Quotation Estimate will provide the following professional services across a twelve-month engagement period in Australia Melbourne:</w:t>
      </w:r>
    </w:p>
    <w:p>
      <w:pPr>
        <w:numPr>
          <w:ilvl w:val="0"/>
          <w:numId w:val="1001"/>
        </w:numPr>
        <w:pStyle w:val="Compact"/>
      </w:pPr>
      <w:r>
        <w:rPr>
          <w:bCs/>
          <w:b/>
        </w:rPr>
        <w:t xml:space="preserve">Macroeconomic Forecasting:</w:t>
      </w:r>
      <w:r>
        <w:t xml:space="preserve"> </w:t>
      </w:r>
      <w:r>
        <w:t xml:space="preserve">Quarterly GDP, inflation, and employment projections specific to the Australia Melbourne metropolitan economy, incorporating state-level fiscal data and national economic indicators.</w:t>
      </w:r>
    </w:p>
    <w:p>
      <w:pPr>
        <w:numPr>
          <w:ilvl w:val="0"/>
          <w:numId w:val="1001"/>
        </w:numPr>
        <w:pStyle w:val="Compact"/>
      </w:pPr>
      <w:r>
        <w:rPr>
          <w:bCs/>
          <w:b/>
        </w:rPr>
        <w:t xml:space="preserve">Infrastructure Investment Appraisal:</w:t>
      </w:r>
      <w:r>
        <w:t xml:space="preserve"> </w:t>
      </w:r>
      <w:r>
        <w:t xml:space="preserve">Cost-benefit analysis and economic rate of return modelling for proposed transport and energy infrastructure projects within Australia Melbourne, utilising the Australian Government's Infrastructure Investment Principles.</w:t>
      </w:r>
    </w:p>
    <w:p>
      <w:pPr>
        <w:numPr>
          <w:ilvl w:val="0"/>
          <w:numId w:val="1001"/>
        </w:numPr>
        <w:pStyle w:val="Compact"/>
      </w:pPr>
      <w:r>
        <w:rPr>
          <w:bCs/>
          <w:b/>
        </w:rPr>
        <w:t xml:space="preserve">Fiscal Policy Advisory:</w:t>
      </w:r>
      <w:r>
        <w:t xml:space="preserve"> </w:t>
      </w:r>
      <w:r>
        <w:t xml:space="preserve">Ongoing analysis of state and federal fiscal policy impacts on the Australia Melbourne economy, including tax revenue modelling and expenditure efficiency assessments.</w:t>
      </w:r>
    </w:p>
    <w:p>
      <w:pPr>
        <w:numPr>
          <w:ilvl w:val="0"/>
          <w:numId w:val="1001"/>
        </w:numPr>
        <w:pStyle w:val="Compact"/>
      </w:pPr>
      <w:r>
        <w:rPr>
          <w:bCs/>
          <w:b/>
        </w:rPr>
        <w:t xml:space="preserve">Market and Sector Analysis:</w:t>
      </w:r>
      <w:r>
        <w:t xml:space="preserve"> </w:t>
      </w:r>
      <w:r>
        <w:t xml:space="preserve">Detailed economic impact assessments for key sectors including construction, logistics, and professional services operating in Australia Melbourne.</w:t>
      </w:r>
    </w:p>
    <w:p>
      <w:pPr>
        <w:numPr>
          <w:ilvl w:val="0"/>
          <w:numId w:val="1001"/>
        </w:numPr>
        <w:pStyle w:val="Compact"/>
      </w:pPr>
      <w:r>
        <w:rPr>
          <w:bCs/>
          <w:b/>
        </w:rPr>
        <w:t xml:space="preserve">Stakeholder Reporting:</w:t>
      </w:r>
      <w:r>
        <w:t xml:space="preserve"> </w:t>
      </w:r>
      <w:r>
        <w:t xml:space="preserve">Preparation of formal economic briefs, board presentations, and parliamentary submissions on behalf of the client, reflecting the Economist's independent professional judgement.</w:t>
      </w:r>
    </w:p>
    <w:bookmarkEnd w:id="23"/>
    <w:bookmarkStart w:id="24"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Economist Service</w:t>
            </w:r>
          </w:p>
        </w:tc>
        <w:tc>
          <w:tcPr/>
          <w:p>
            <w:pPr>
              <w:pStyle w:val="Compact"/>
              <w:jc w:val="left"/>
            </w:pPr>
            <w:r>
              <w:t xml:space="preserve">Duration / Frequency</w:t>
            </w:r>
          </w:p>
        </w:tc>
        <w:tc>
          <w:tcPr/>
          <w:p>
            <w:pPr>
              <w:pStyle w:val="Compact"/>
              <w:jc w:val="left"/>
            </w:pPr>
            <w:r>
              <w:t xml:space="preserve">Rate (AUD)</w:t>
            </w:r>
          </w:p>
        </w:tc>
        <w:tc>
          <w:tcPr/>
          <w:p>
            <w:pPr>
              <w:pStyle w:val="Compact"/>
              <w:jc w:val="left"/>
            </w:pPr>
            <w:r>
              <w:t xml:space="preserve">Subtotal (AUD)</w:t>
            </w:r>
          </w:p>
        </w:tc>
      </w:tr>
      <w:tr>
        <w:tc>
          <w:tcPr/>
          <w:p>
            <w:pPr>
              <w:pStyle w:val="Compact"/>
              <w:jc w:val="left"/>
            </w:pPr>
            <w:r>
              <w:t xml:space="preserve">01</w:t>
            </w:r>
          </w:p>
        </w:tc>
        <w:tc>
          <w:tcPr/>
          <w:p>
            <w:pPr>
              <w:pStyle w:val="Compact"/>
              <w:jc w:val="left"/>
            </w:pPr>
            <w:r>
              <w:t xml:space="preserve">Senior Economist – Retained Advisory (full-time equivalent, 0.5 FTE)</w:t>
            </w:r>
          </w:p>
        </w:tc>
        <w:tc>
          <w:tcPr/>
          <w:p>
            <w:pPr>
              <w:pStyle w:val="Compact"/>
              <w:jc w:val="left"/>
            </w:pPr>
            <w:r>
              <w:t xml:space="preserve">12 months</w:t>
            </w:r>
          </w:p>
        </w:tc>
        <w:tc>
          <w:tcPr/>
          <w:p>
            <w:pPr>
              <w:pStyle w:val="Compact"/>
              <w:jc w:val="left"/>
            </w:pPr>
            <w:r>
              <w:t xml:space="preserve">$185,000 / yr</w:t>
            </w:r>
          </w:p>
        </w:tc>
        <w:tc>
          <w:tcPr/>
          <w:p>
            <w:pPr>
              <w:pStyle w:val="Compact"/>
              <w:jc w:val="left"/>
            </w:pPr>
            <w:r>
              <w:t xml:space="preserve">$92,500.00</w:t>
            </w:r>
          </w:p>
        </w:tc>
      </w:tr>
      <w:tr>
        <w:tc>
          <w:tcPr/>
          <w:p>
            <w:pPr>
              <w:pStyle w:val="Compact"/>
              <w:jc w:val="left"/>
            </w:pPr>
            <w:r>
              <w:t xml:space="preserve">02</w:t>
            </w:r>
          </w:p>
        </w:tc>
        <w:tc>
          <w:tcPr/>
          <w:p>
            <w:pPr>
              <w:pStyle w:val="Compact"/>
              <w:jc w:val="left"/>
            </w:pPr>
            <w:r>
              <w:t xml:space="preserve">Macroeconomic Forecasting Reports (quarterly deliverables)</w:t>
            </w:r>
          </w:p>
        </w:tc>
        <w:tc>
          <w:tcPr/>
          <w:p>
            <w:pPr>
              <w:pStyle w:val="Compact"/>
              <w:jc w:val="left"/>
            </w:pPr>
            <w:r>
              <w:t xml:space="preserve">4 reports</w:t>
            </w:r>
          </w:p>
        </w:tc>
        <w:tc>
          <w:tcPr/>
          <w:p>
            <w:pPr>
              <w:pStyle w:val="Compact"/>
              <w:jc w:val="left"/>
            </w:pPr>
            <w:r>
              <w:t xml:space="preserve">$12,500 / report</w:t>
            </w:r>
          </w:p>
        </w:tc>
        <w:tc>
          <w:tcPr/>
          <w:p>
            <w:pPr>
              <w:pStyle w:val="Compact"/>
              <w:jc w:val="left"/>
            </w:pPr>
            <w:r>
              <w:t xml:space="preserve">$50,000.00</w:t>
            </w:r>
          </w:p>
        </w:tc>
      </w:tr>
      <w:tr>
        <w:tc>
          <w:tcPr/>
          <w:p>
            <w:pPr>
              <w:pStyle w:val="Compact"/>
              <w:jc w:val="left"/>
            </w:pPr>
            <w:r>
              <w:t xml:space="preserve">03</w:t>
            </w:r>
          </w:p>
        </w:tc>
        <w:tc>
          <w:tcPr/>
          <w:p>
            <w:pPr>
              <w:pStyle w:val="Compact"/>
              <w:jc w:val="left"/>
            </w:pPr>
            <w:r>
              <w:t xml:space="preserve">Infrastructure Investment Appraisal – Transport Corridor Study</w:t>
            </w:r>
          </w:p>
        </w:tc>
        <w:tc>
          <w:tcPr/>
          <w:p>
            <w:pPr>
              <w:pStyle w:val="Compact"/>
              <w:jc w:val="left"/>
            </w:pPr>
            <w:r>
              <w:t xml:space="preserve">One-off project</w:t>
            </w:r>
          </w:p>
        </w:tc>
        <w:tc>
          <w:tcPr/>
          <w:p>
            <w:pPr>
              <w:pStyle w:val="Compact"/>
              <w:jc w:val="left"/>
            </w:pPr>
            <w:r>
              <w:t xml:space="preserve">$45,000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Infrastructure Investment Appraisal – Energy Grid Expansion</w:t>
            </w:r>
          </w:p>
        </w:tc>
        <w:tc>
          <w:tcPr/>
          <w:p>
            <w:pPr>
              <w:pStyle w:val="Compact"/>
              <w:jc w:val="left"/>
            </w:pPr>
            <w:r>
              <w:t xml:space="preserve">One-off project</w:t>
            </w:r>
          </w:p>
        </w:tc>
        <w:tc>
          <w:tcPr/>
          <w:p>
            <w:pPr>
              <w:pStyle w:val="Compact"/>
              <w:jc w:val="left"/>
            </w:pPr>
            <w:r>
              <w:t xml:space="preserve">$38,000</w:t>
            </w:r>
          </w:p>
        </w:tc>
        <w:tc>
          <w:tcPr/>
          <w:p>
            <w:pPr>
              <w:pStyle w:val="Compact"/>
              <w:jc w:val="left"/>
            </w:pPr>
            <w:r>
              <w:t xml:space="preserve">$38,000.00</w:t>
            </w:r>
          </w:p>
        </w:tc>
      </w:tr>
      <w:tr>
        <w:tc>
          <w:tcPr/>
          <w:p>
            <w:pPr>
              <w:pStyle w:val="Compact"/>
              <w:jc w:val="left"/>
            </w:pPr>
            <w:r>
              <w:t xml:space="preserve">05</w:t>
            </w:r>
          </w:p>
        </w:tc>
        <w:tc>
          <w:tcPr/>
          <w:p>
            <w:pPr>
              <w:pStyle w:val="Compact"/>
              <w:jc w:val="left"/>
            </w:pPr>
            <w:r>
              <w:t xml:space="preserve">Fiscal Policy Advisory – Monthly Briefings</w:t>
            </w:r>
          </w:p>
        </w:tc>
        <w:tc>
          <w:tcPr/>
          <w:p>
            <w:pPr>
              <w:pStyle w:val="Compact"/>
              <w:jc w:val="left"/>
            </w:pPr>
            <w:r>
              <w:t xml:space="preserve">12 months</w:t>
            </w:r>
          </w:p>
        </w:tc>
        <w:tc>
          <w:tcPr/>
          <w:p>
            <w:pPr>
              <w:pStyle w:val="Compact"/>
              <w:jc w:val="left"/>
            </w:pPr>
            <w:r>
              <w:t xml:space="preserve">$4,200 / month</w:t>
            </w:r>
          </w:p>
        </w:tc>
        <w:tc>
          <w:tcPr/>
          <w:p>
            <w:pPr>
              <w:pStyle w:val="Compact"/>
              <w:jc w:val="left"/>
            </w:pPr>
            <w:r>
              <w:t xml:space="preserve">$50,400.00</w:t>
            </w:r>
          </w:p>
        </w:tc>
      </w:tr>
      <w:tr>
        <w:tc>
          <w:tcPr/>
          <w:p>
            <w:pPr>
              <w:pStyle w:val="Compact"/>
              <w:jc w:val="left"/>
            </w:pPr>
            <w:r>
              <w:t xml:space="preserve">06</w:t>
            </w:r>
          </w:p>
        </w:tc>
        <w:tc>
          <w:tcPr/>
          <w:p>
            <w:pPr>
              <w:pStyle w:val="Compact"/>
              <w:jc w:val="left"/>
            </w:pPr>
            <w:r>
              <w:t xml:space="preserve">Market and Sector Analysis – Construction &amp; Logistics</w:t>
            </w:r>
          </w:p>
        </w:tc>
        <w:tc>
          <w:tcPr/>
          <w:p>
            <w:pPr>
              <w:pStyle w:val="Compact"/>
              <w:jc w:val="left"/>
            </w:pPr>
            <w:r>
              <w:t xml:space="preserve">2 reports</w:t>
            </w:r>
          </w:p>
        </w:tc>
        <w:tc>
          <w:tcPr/>
          <w:p>
            <w:pPr>
              <w:pStyle w:val="Compact"/>
              <w:jc w:val="left"/>
            </w:pPr>
            <w:r>
              <w:t xml:space="preserve">$15,000 / report</w:t>
            </w:r>
          </w:p>
        </w:tc>
        <w:tc>
          <w:tcPr/>
          <w:p>
            <w:pPr>
              <w:pStyle w:val="Compact"/>
              <w:jc w:val="left"/>
            </w:pPr>
            <w:r>
              <w:t xml:space="preserve">$30,000.00</w:t>
            </w:r>
          </w:p>
        </w:tc>
      </w:tr>
      <w:tr>
        <w:tc>
          <w:tcPr/>
          <w:p>
            <w:pPr>
              <w:pStyle w:val="Compact"/>
              <w:jc w:val="left"/>
            </w:pPr>
            <w:r>
              <w:t xml:space="preserve">07</w:t>
            </w:r>
          </w:p>
        </w:tc>
        <w:tc>
          <w:tcPr/>
          <w:p>
            <w:pPr>
              <w:pStyle w:val="Compact"/>
              <w:jc w:val="left"/>
            </w:pPr>
            <w:r>
              <w:t xml:space="preserve">Parliamentary Submissions &amp; Board Presentations</w:t>
            </w:r>
          </w:p>
        </w:tc>
        <w:tc>
          <w:tcPr/>
          <w:p>
            <w:pPr>
              <w:pStyle w:val="Compact"/>
              <w:jc w:val="left"/>
            </w:pPr>
            <w:r>
              <w:t xml:space="preserve">As required (est. 6)</w:t>
            </w:r>
          </w:p>
        </w:tc>
        <w:tc>
          <w:tcPr/>
          <w:p>
            <w:pPr>
              <w:pStyle w:val="Compact"/>
              <w:jc w:val="left"/>
            </w:pPr>
            <w:r>
              <w:t xml:space="preserve">$3,500 / session</w:t>
            </w:r>
          </w:p>
        </w:tc>
        <w:tc>
          <w:tcPr/>
          <w:p>
            <w:pPr>
              <w:pStyle w:val="Compact"/>
              <w:jc w:val="left"/>
            </w:pPr>
            <w:r>
              <w:t xml:space="preserve">$21,000.00</w:t>
            </w:r>
          </w:p>
        </w:tc>
      </w:tr>
      <w:tr>
        <w:tc>
          <w:tcPr/>
          <w:p>
            <w:pPr>
              <w:pStyle w:val="Compact"/>
              <w:jc w:val="left"/>
            </w:pPr>
            <w:r>
              <w:t xml:space="preserve">08</w:t>
            </w:r>
          </w:p>
        </w:tc>
        <w:tc>
          <w:tcPr/>
          <w:p>
            <w:pPr>
              <w:pStyle w:val="Compact"/>
              <w:jc w:val="left"/>
            </w:pPr>
            <w:r>
              <w:t xml:space="preserve">Travel and On-Site Attendance – Australia Melbourne offices</w:t>
            </w:r>
          </w:p>
        </w:tc>
        <w:tc>
          <w:tcPr/>
          <w:p>
            <w:pPr>
              <w:pStyle w:val="Compact"/>
              <w:jc w:val="left"/>
            </w:pPr>
            <w:r>
              <w:t xml:space="preserve">12 months</w:t>
            </w:r>
          </w:p>
        </w:tc>
        <w:tc>
          <w:tcPr/>
          <w:p>
            <w:pPr>
              <w:pStyle w:val="Compact"/>
              <w:jc w:val="left"/>
            </w:pPr>
            <w:r>
              <w:t xml:space="preserve">$2,800 / month</w:t>
            </w:r>
          </w:p>
        </w:tc>
        <w:tc>
          <w:tcPr/>
          <w:p>
            <w:pPr>
              <w:pStyle w:val="Compact"/>
              <w:jc w:val="left"/>
            </w:pPr>
            <w:r>
              <w:t xml:space="preserve">$33,600.00</w:t>
            </w:r>
          </w:p>
        </w:tc>
      </w:tr>
      <w:tr>
        <w:tc>
          <w:tcPr/>
          <w:p>
            <w:pPr>
              <w:pStyle w:val="Compact"/>
              <w:jc w:val="left"/>
            </w:pPr>
            <w:r>
              <w:t xml:space="preserve">09</w:t>
            </w:r>
          </w:p>
        </w:tc>
        <w:tc>
          <w:tcPr/>
          <w:p>
            <w:pPr>
              <w:pStyle w:val="Compact"/>
              <w:jc w:val="left"/>
            </w:pPr>
            <w:r>
              <w:t xml:space="preserve">Software Licences – Econometric Modelling (EViews, Stata, R)</w:t>
            </w:r>
          </w:p>
        </w:tc>
        <w:tc>
          <w:tcPr/>
          <w:p>
            <w:pPr>
              <w:pStyle w:val="Compact"/>
              <w:jc w:val="left"/>
            </w:pPr>
            <w:r>
              <w:t xml:space="preserve">12 months</w:t>
            </w:r>
          </w:p>
        </w:tc>
        <w:tc>
          <w:tcPr/>
          <w:p>
            <w:pPr>
              <w:pStyle w:val="Compact"/>
              <w:jc w:val="left"/>
            </w:pPr>
            <w:r>
              <w:t xml:space="preserve">$6,500 / yr</w:t>
            </w:r>
          </w:p>
        </w:tc>
        <w:tc>
          <w:tcPr/>
          <w:p>
            <w:pPr>
              <w:pStyle w:val="Compact"/>
              <w:jc w:val="left"/>
            </w:pPr>
            <w:r>
              <w:t xml:space="preserve">$6,500.00</w:t>
            </w:r>
          </w:p>
        </w:tc>
      </w:tr>
      <w:tr>
        <w:tc>
          <w:tcPr/>
          <w:p>
            <w:pPr>
              <w:pStyle w:val="Compact"/>
              <w:jc w:val="left"/>
            </w:pPr>
            <w:r>
              <w:t xml:space="preserve">10</w:t>
            </w:r>
          </w:p>
        </w:tc>
        <w:tc>
          <w:tcPr/>
          <w:p>
            <w:pPr>
              <w:pStyle w:val="Compact"/>
              <w:jc w:val="left"/>
            </w:pPr>
            <w:r>
              <w:t xml:space="preserve">Professional Indemnity Insurance – Economist Services</w:t>
            </w:r>
          </w:p>
        </w:tc>
        <w:tc>
          <w:tcPr/>
          <w:p>
            <w:pPr>
              <w:pStyle w:val="Compact"/>
              <w:jc w:val="left"/>
            </w:pPr>
            <w:r>
              <w:t xml:space="preserve">12 months</w:t>
            </w:r>
          </w:p>
        </w:tc>
        <w:tc>
          <w:tcPr/>
          <w:p>
            <w:pPr>
              <w:pStyle w:val="Compact"/>
              <w:jc w:val="left"/>
            </w:pPr>
            <w:r>
              <w:t xml:space="preserve">$8,200 / yr</w:t>
            </w:r>
          </w:p>
        </w:tc>
        <w:tc>
          <w:tcPr/>
          <w:p>
            <w:pPr>
              <w:pStyle w:val="Compact"/>
              <w:jc w:val="left"/>
            </w:pPr>
            <w:r>
              <w:t xml:space="preserve">$8,200.00</w:t>
            </w:r>
          </w:p>
        </w:tc>
      </w:tr>
      <w:tr>
        <w:tc>
          <w:tcPr>
            <w:gridSpan w:val="4"/>
          </w:tcPr>
          <w:p>
            <w:pPr>
              <w:pStyle w:val="Compact"/>
              <w:jc w:val="left"/>
            </w:pPr>
            <w:r>
              <w:rPr>
                <w:bCs/>
                <w:b/>
              </w:rPr>
              <w:t xml:space="preserve">Subtotal (excl. GST)</w:t>
            </w:r>
          </w:p>
        </w:tc>
        <w:tc>
          <w:tcPr/>
          <w:p>
            <w:pPr>
              <w:pStyle w:val="Compact"/>
              <w:jc w:val="left"/>
            </w:pPr>
            <w:r>
              <w:rPr>
                <w:bCs/>
                <w:b/>
              </w:rPr>
              <w:t xml:space="preserve">$375,200.00</w:t>
            </w:r>
          </w:p>
        </w:tc>
      </w:tr>
      <w:tr>
        <w:tc>
          <w:tcPr>
            <w:gridSpan w:val="4"/>
          </w:tcPr>
          <w:p>
            <w:pPr>
              <w:pStyle w:val="Compact"/>
              <w:jc w:val="left"/>
            </w:pPr>
            <w:r>
              <w:rPr>
                <w:bCs/>
                <w:b/>
              </w:rPr>
              <w:t xml:space="preserve">GST (10%)</w:t>
            </w:r>
          </w:p>
        </w:tc>
        <w:tc>
          <w:tcPr/>
          <w:p>
            <w:pPr>
              <w:pStyle w:val="Compact"/>
              <w:jc w:val="left"/>
            </w:pPr>
            <w:r>
              <w:rPr>
                <w:bCs/>
                <w:b/>
              </w:rPr>
              <w:t xml:space="preserve">$37,520.00</w:t>
            </w:r>
          </w:p>
        </w:tc>
      </w:tr>
      <w:tr>
        <w:tc>
          <w:tcPr>
            <w:gridSpan w:val="4"/>
          </w:tcPr>
          <w:p>
            <w:pPr>
              <w:pStyle w:val="Compact"/>
              <w:jc w:val="left"/>
            </w:pPr>
            <w:r>
              <w:rPr>
                <w:bCs/>
                <w:b/>
              </w:rPr>
              <w:t xml:space="preserve">TOTAL Quotation Estimate (incl. GST)</w:t>
            </w:r>
          </w:p>
        </w:tc>
        <w:tc>
          <w:tcPr/>
          <w:p>
            <w:pPr>
              <w:pStyle w:val="Compact"/>
              <w:jc w:val="left"/>
            </w:pPr>
            <w:r>
              <w:rPr>
                <w:bCs/>
                <w:b/>
              </w:rPr>
              <w:t xml:space="preserve">$412,720.00</w:t>
            </w:r>
          </w:p>
        </w:tc>
      </w:tr>
    </w:tbl>
    <w:bookmarkEnd w:id="24"/>
    <w:bookmarkStart w:id="25" w:name="payment-terms"/>
    <w:p>
      <w:pPr>
        <w:pStyle w:val="Heading2"/>
      </w:pPr>
      <w:r>
        <w:t xml:space="preserve">4. Payment Terms</w:t>
      </w:r>
    </w:p>
    <w:p>
      <w:pPr>
        <w:pStyle w:val="FirstParagraph"/>
      </w:pPr>
      <w:r>
        <w:t xml:space="preserve">Payment against this Quotation Estimate shall be made in accordance with the following schedule: an initial deposit of 25% (AUD $103,180.00) is due within fourteen (14) business days of acceptance of this Quotation Estimate. The remaining balance shall be invoiced on a quarterly basis in arrears, with payment due within thirty (30) days of invoice date. All payments are to be made via electronic funds transfer to the nominated account of Meridian Economic Advisory Pty Ltd. Late payments shall attract interest at the rate prescribed under the Australian Consumer Law, calculated daily from the due date until full settlement.</w:t>
      </w:r>
    </w:p>
    <w:bookmarkEnd w:id="25"/>
    <w:bookmarkStart w:id="26" w:name="terms-and-conditions"/>
    <w:p>
      <w:pPr>
        <w:pStyle w:val="Heading2"/>
      </w:pPr>
      <w:r>
        <w:t xml:space="preserve">5. Terms and Conditions</w:t>
      </w:r>
    </w:p>
    <w:p>
      <w:pPr>
        <w:pStyle w:val="FirstParagraph"/>
      </w:pPr>
      <w:r>
        <w:t xml:space="preserve">5.1 This Quotation Estimate is valid for a period of ninety (90) days from the date of issue. Upon expiry, all rates and terms outlined herein may be subject to revision without prior notice.</w:t>
      </w:r>
    </w:p>
    <w:p>
      <w:pPr>
        <w:pStyle w:val="BodyText"/>
      </w:pPr>
      <w:r>
        <w:t xml:space="preserve">5.2 The Economist engaged under this Quotation Estimate shall maintain full professional independence and shall not be directed to produce analyses that contravene established economic methodology or Australian professional standards.</w:t>
      </w:r>
    </w:p>
    <w:p>
      <w:pPr>
        <w:pStyle w:val="BodyText"/>
      </w:pPr>
      <w:r>
        <w:t xml:space="preserve">5.3 All deliverables, reports, and analyses produced by the Economist in Australia Melbourne under this engagement shall remain the intellectual property of the client upon full payment, subject to the Economist's right to reference the engagement in professional portfolios.</w:t>
      </w:r>
    </w:p>
    <w:p>
      <w:pPr>
        <w:pStyle w:val="BodyText"/>
      </w:pPr>
      <w:r>
        <w:t xml:space="preserve">5.4 This Quotation Estimate does not constitute a binding contract until a formal Service Agreement is executed by both parties. Acceptance of this Quotation Estimate shall be confirmed in writing by the client's authorised representative.</w:t>
      </w:r>
    </w:p>
    <w:p>
      <w:pPr>
        <w:pStyle w:val="BodyText"/>
      </w:pPr>
      <w:r>
        <w:t xml:space="preserve">5.5 Any variation to the scope of services described in this Quotation Estimate must be agreed in writing by both parties prior to commencement of additional work. Variations exceeding 10% of the total Quotation Estimate value will require a revised Quotation Estimate to be issued.</w:t>
      </w:r>
    </w:p>
    <w:p>
      <w:pPr>
        <w:pStyle w:val="BodyText"/>
      </w:pPr>
      <w:r>
        <w:t xml:space="preserve">5.6 This Quotation Estimate is governed by the laws of the State of Victoria, Australia Melbourne, and any disputes shall be subject to the exclusive jurisdiction of the courts of Victoria.</w:t>
      </w:r>
    </w:p>
    <w:p>
      <w:pPr>
        <w:pStyle w:val="BodyText"/>
      </w:pPr>
      <w:r>
        <w:t xml:space="preserve">5.7 The Economist shall comply with all applicable Australian privacy legislation, including the Privacy Act 1988 (Cth), in the handling of any client data received during the engagement in Australia Melbourne.</w:t>
      </w:r>
    </w:p>
    <w:bookmarkEnd w:id="26"/>
    <w:bookmarkStart w:id="27" w:name="assumptions-and-exclusions"/>
    <w:p>
      <w:pPr>
        <w:pStyle w:val="Heading2"/>
      </w:pPr>
      <w:r>
        <w:t xml:space="preserve">6. Assumptions and Exclusions</w:t>
      </w:r>
    </w:p>
    <w:p>
      <w:pPr>
        <w:pStyle w:val="FirstParagraph"/>
      </w:pPr>
      <w:r>
        <w:t xml:space="preserve">This Quotation Estimate assumes that the client will provide timely access to all relevant internal data, financial records, and project documentation required by the Economist to perform the services described. Costs associated with third-party data procurement beyond standard Australian Bureau of Statistics and Reserve Bank of Australia publications are excluded from this Quotation Estimate and will be billed at cost if required. This Quotation Estimate does not include legal advice, tax advisory services, or engineering design work, which are outside the scope of the Economist's professional engagement.</w:t>
      </w:r>
    </w:p>
    <w:bookmarkEnd w:id="27"/>
    <w:bookmarkStart w:id="28" w:name="acceptance"/>
    <w:p>
      <w:pPr>
        <w:pStyle w:val="Heading2"/>
      </w:pPr>
      <w:r>
        <w:t xml:space="preserve">7. Acceptance</w:t>
      </w:r>
    </w:p>
    <w:p>
      <w:pPr>
        <w:pStyle w:val="FirstParagraph"/>
      </w:pPr>
      <w:r>
        <w:t xml:space="preserve">By signing below, the client acknowledges receipt of this Quotation Estimate and agrees to the terms, conditions, and pricing outlined herein for the engagement of Economist services in Australia Melbourne.</w:t>
      </w:r>
    </w:p>
    <w:p>
      <w:pPr>
        <w:pStyle w:val="BodyText"/>
      </w:pPr>
      <w:r>
        <w:rPr>
          <w:bCs/>
          <w:b/>
        </w:rPr>
        <w:t xml:space="preserve">For and on behalf of Meridian Economic Advisory Pty Ltd</w:t>
      </w:r>
    </w:p>
    <w:p>
      <w:pPr>
        <w:pStyle w:val="BodyText"/>
      </w:pPr>
      <w:r>
        <w:t xml:space="preserve">Name: Prof. James Okafor, Principal Economist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Victoria State Infrastructure Authority</w:t>
      </w:r>
    </w:p>
    <w:p>
      <w:pPr>
        <w:pStyle w:val="BodyText"/>
      </w:pPr>
      <w:r>
        <w:t xml:space="preserve">Name: Dr. Sarah Whitfield, CFO</w:t>
      </w:r>
    </w:p>
    <w:p>
      <w:pPr>
        <w:pStyle w:val="BodyText"/>
      </w:pPr>
      <w:r>
        <w:t xml:space="preserve">Signature: ___________________________</w:t>
      </w:r>
    </w:p>
    <w:p>
      <w:pPr>
        <w:pStyle w:val="BodyText"/>
      </w:pPr>
      <w:r>
        <w:t xml:space="preserve">Date: ___________________________</w:t>
      </w:r>
    </w:p>
    <w:p>
      <w:pPr>
        <w:pStyle w:val="BodyText"/>
      </w:pPr>
      <w:r>
        <w:t xml:space="preserve">Meridian Economic Advisory Pty Ltd | ABN 48 217 654 390 | Level 12, 333 Collins Street, Melbourne VIC 3000, Australia Melbourne</w:t>
      </w:r>
    </w:p>
    <w:p>
      <w:pPr>
        <w:pStyle w:val="BodyText"/>
      </w:pPr>
      <w:r>
        <w:t xml:space="preserve">This Quotation Estimate (Ref: MEA-2025-04871) is issued for the exclusive use of the named client. Unauthorised reproduction or distribution of this Quotation Estimate is prohibited. All figures are in Australian Dollars (AUD) unless otherwise stated.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Australia Melbourne</dc:title>
  <dc:creator/>
  <dc:language>en</dc:language>
  <cp:keywords/>
  <dcterms:created xsi:type="dcterms:W3CDTF">2026-10-10T08:37:36Z</dcterms:created>
  <dcterms:modified xsi:type="dcterms:W3CDTF">2026-10-10T08:37:36Z</dcterms:modified>
</cp:coreProperties>
</file>

<file path=docProps/custom.xml><?xml version="1.0" encoding="utf-8"?>
<Properties xmlns="http://schemas.openxmlformats.org/officeDocument/2006/custom-properties" xmlns:vt="http://schemas.openxmlformats.org/officeDocument/2006/docPropsVTypes"/>
</file>