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Economist Services — Belgium Brussels</w:t>
      </w:r>
    </w:p>
    <w:p>
      <w:pPr>
        <w:pStyle w:val="BodyText"/>
      </w:pPr>
      <w:r>
        <w:t xml:space="preserve">Ref: QE-BRU-2025-0472 | Issued by: EuroAnalytica Consulting S.A.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QE-BRU-2025-0472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Client</w:t>
            </w:r>
          </w:p>
        </w:tc>
        <w:tc>
          <w:tcPr>
            <w:gridSpan w:val="3"/>
          </w:tcPr>
          <w:p>
            <w:pPr>
              <w:pStyle w:val="Compact"/>
              <w:jc w:val="left"/>
            </w:pPr>
            <w:r>
              <w:t xml:space="preserve">[Client Name / Organization], Avenue Louise 250, 1050 Brussels, Belgium</w:t>
            </w:r>
          </w:p>
        </w:tc>
      </w:tr>
      <w:tr>
        <w:tc>
          <w:tcPr/>
          <w:p>
            <w:pPr>
              <w:pStyle w:val="Compact"/>
              <w:jc w:val="left"/>
            </w:pPr>
            <w:r>
              <w:t xml:space="preserve">Service Location</w:t>
            </w:r>
          </w:p>
        </w:tc>
        <w:tc>
          <w:tcPr>
            <w:gridSpan w:val="3"/>
          </w:tcPr>
          <w:p>
            <w:pPr>
              <w:pStyle w:val="Compact"/>
              <w:jc w:val="left"/>
            </w:pPr>
            <w:r>
              <w:t xml:space="preserve">Belgium Brussels — Primary office at Rue de la Loi 42, 1040 Brussels, with satellite support in the European Quarter</w:t>
            </w:r>
          </w:p>
        </w:tc>
      </w:tr>
      <w:tr>
        <w:tc>
          <w:tcPr/>
          <w:p>
            <w:pPr>
              <w:pStyle w:val="Compact"/>
              <w:jc w:val="left"/>
            </w:pPr>
            <w:r>
              <w:t xml:space="preserve">Prepared By</w:t>
            </w:r>
          </w:p>
        </w:tc>
        <w:tc>
          <w:tcPr>
            <w:gridSpan w:val="3"/>
          </w:tcPr>
          <w:p>
            <w:pPr>
              <w:pStyle w:val="Compact"/>
              <w:jc w:val="left"/>
            </w:pPr>
            <w:r>
              <w:t xml:space="preserve">Dr. Margaux Delvaux, Senior Economist &amp; Engagement Director, EuroAnalytica Consulting S.A.</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EuroAnalytica Consulting S.A. to provide a comprehensive, itemized financial projection for the engagement of a qualified</w:t>
      </w:r>
      <w:r>
        <w:t xml:space="preserve"> </w:t>
      </w:r>
      <w:r>
        <w:t xml:space="preserve">Economist</w:t>
      </w:r>
      <w:r>
        <w:t xml:space="preserve"> </w:t>
      </w:r>
      <w:r>
        <w:t xml:space="preserve">to deliver advisory, analytical, and policy-research services within the jurisdiction of</w:t>
      </w:r>
      <w:r>
        <w:t xml:space="preserve"> </w:t>
      </w:r>
      <w:r>
        <w:t xml:space="preserve">Belgium Brussels</w:t>
      </w:r>
      <w:r>
        <w:t xml:space="preserve">. The scope of work outlined herein has been tailored to meet the specific economic, regulatory, and institutional requirements of the client's operations in the Brussels metropolitan area and the broader Belgian federal framework. All figures presented in this Quotation Estimate are expressed in Euros (EUR) and are inclusive of applicable Belgian Value Added Tax (VAT) at the standard rate of 21%, unless otherwise stated.</w:t>
      </w:r>
    </w:p>
    <w:bookmarkEnd w:id="21"/>
    <w:bookmarkStart w:id="22" w:name="Xa9461c070f2e9a63ac6fedd58085d7bf15c7530"/>
    <w:p>
      <w:pPr>
        <w:pStyle w:val="Heading2"/>
      </w:pPr>
      <w:r>
        <w:t xml:space="preserve">2. Scope of Services — Economist Engagement in Belgium Brussels</w:t>
      </w:r>
    </w:p>
    <w:p>
      <w:pPr>
        <w:pStyle w:val="FirstParagraph"/>
      </w:pPr>
      <w:r>
        <w:t xml:space="preserve">The</w:t>
      </w:r>
      <w:r>
        <w:t xml:space="preserve"> </w:t>
      </w:r>
      <w:r>
        <w:t xml:space="preserve">Economist</w:t>
      </w:r>
      <w:r>
        <w:t xml:space="preserve"> </w:t>
      </w:r>
      <w:r>
        <w:t xml:space="preserve">engaged under this Quotation Estimate will provide the following services, all conducted in accordance with Belgian professional standards, the Code of Economic Law, and the regulatory oversight of the relevant Brussels-based authorities: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Macroeconomic analysis and forecasting of the Belgian and Brussels regional economy, including GDP projections, inflation modelling, and labour market assessments specific to Belgium Brussels</w:t>
            </w:r>
          </w:p>
        </w:tc>
        <w:tc>
          <w:tcPr/>
          <w:p>
            <w:pPr>
              <w:pStyle w:val="Compact"/>
              <w:jc w:val="left"/>
            </w:pPr>
            <w:r>
              <w:t xml:space="preserve">3 months</w:t>
            </w:r>
          </w:p>
        </w:tc>
        <w:tc>
          <w:tcPr/>
          <w:p>
            <w:pPr>
              <w:pStyle w:val="Compact"/>
              <w:jc w:val="left"/>
            </w:pPr>
            <w:r>
              <w:t xml:space="preserve">€185.00/hr</w:t>
            </w:r>
          </w:p>
        </w:tc>
        <w:tc>
          <w:tcPr/>
          <w:p>
            <w:pPr>
              <w:pStyle w:val="Compact"/>
              <w:jc w:val="left"/>
            </w:pPr>
            <w:r>
              <w:t xml:space="preserve">€14,800.00</w:t>
            </w:r>
          </w:p>
        </w:tc>
      </w:tr>
      <w:tr>
        <w:tc>
          <w:tcPr/>
          <w:p>
            <w:pPr>
              <w:pStyle w:val="Compact"/>
              <w:jc w:val="left"/>
            </w:pPr>
            <w:r>
              <w:t xml:space="preserve">2</w:t>
            </w:r>
          </w:p>
        </w:tc>
        <w:tc>
          <w:tcPr/>
          <w:p>
            <w:pPr>
              <w:pStyle w:val="Compact"/>
              <w:jc w:val="left"/>
            </w:pPr>
            <w:r>
              <w:t xml:space="preserve">Policy impact assessment and regulatory compliance review for the client's operations within the Brussels-Capital Region and the Flemish/Walloon economic zones</w:t>
            </w:r>
          </w:p>
        </w:tc>
        <w:tc>
          <w:tcPr/>
          <w:p>
            <w:pPr>
              <w:pStyle w:val="Compact"/>
              <w:jc w:val="left"/>
            </w:pPr>
            <w:r>
              <w:t xml:space="preserve">2 months</w:t>
            </w:r>
          </w:p>
        </w:tc>
        <w:tc>
          <w:tcPr/>
          <w:p>
            <w:pPr>
              <w:pStyle w:val="Compact"/>
              <w:jc w:val="left"/>
            </w:pPr>
            <w:r>
              <w:t xml:space="preserve">€175.00/hr</w:t>
            </w:r>
          </w:p>
        </w:tc>
        <w:tc>
          <w:tcPr/>
          <w:p>
            <w:pPr>
              <w:pStyle w:val="Compact"/>
              <w:jc w:val="left"/>
            </w:pPr>
            <w:r>
              <w:t xml:space="preserve">€11,200.00</w:t>
            </w:r>
          </w:p>
        </w:tc>
      </w:tr>
      <w:tr>
        <w:tc>
          <w:tcPr/>
          <w:p>
            <w:pPr>
              <w:pStyle w:val="Compact"/>
              <w:jc w:val="left"/>
            </w:pPr>
            <w:r>
              <w:t xml:space="preserve">3</w:t>
            </w:r>
          </w:p>
        </w:tc>
        <w:tc>
          <w:tcPr/>
          <w:p>
            <w:pPr>
              <w:pStyle w:val="Compact"/>
              <w:jc w:val="left"/>
            </w:pPr>
            <w:r>
              <w:t xml:space="preserve">Preparation of a comprehensive economic feasibility study for the client's proposed expansion project in Belgium Brussels, including cost-benefit analysis and risk modelling</w:t>
            </w:r>
          </w:p>
        </w:tc>
        <w:tc>
          <w:tcPr/>
          <w:p>
            <w:pPr>
              <w:pStyle w:val="Compact"/>
              <w:jc w:val="left"/>
            </w:pPr>
            <w:r>
              <w:t xml:space="preserve">6 weeks</w:t>
            </w:r>
          </w:p>
        </w:tc>
        <w:tc>
          <w:tcPr/>
          <w:p>
            <w:pPr>
              <w:pStyle w:val="Compact"/>
              <w:jc w:val="left"/>
            </w:pPr>
            <w:r>
              <w:t xml:space="preserve">Fixed fee</w:t>
            </w:r>
          </w:p>
        </w:tc>
        <w:tc>
          <w:tcPr/>
          <w:p>
            <w:pPr>
              <w:pStyle w:val="Compact"/>
              <w:jc w:val="left"/>
            </w:pPr>
            <w:r>
              <w:t xml:space="preserve">€12,500.00</w:t>
            </w:r>
          </w:p>
        </w:tc>
      </w:tr>
      <w:tr>
        <w:tc>
          <w:tcPr/>
          <w:p>
            <w:pPr>
              <w:pStyle w:val="Compact"/>
              <w:jc w:val="left"/>
            </w:pPr>
            <w:r>
              <w:t xml:space="preserve">4</w:t>
            </w:r>
          </w:p>
        </w:tc>
        <w:tc>
          <w:tcPr/>
          <w:p>
            <w:pPr>
              <w:pStyle w:val="Compact"/>
              <w:jc w:val="left"/>
            </w:pPr>
            <w:r>
              <w:t xml:space="preserve">Monthly economic intelligence briefings and quarterly strategic advisory sessions with the client's executive team, delivered in person at the Brussels office or via secure video conference</w:t>
            </w:r>
          </w:p>
        </w:tc>
        <w:tc>
          <w:tcPr/>
          <w:p>
            <w:pPr>
              <w:pStyle w:val="Compact"/>
              <w:jc w:val="left"/>
            </w:pPr>
            <w:r>
              <w:t xml:space="preserve">6 months</w:t>
            </w:r>
          </w:p>
        </w:tc>
        <w:tc>
          <w:tcPr/>
          <w:p>
            <w:pPr>
              <w:pStyle w:val="Compact"/>
              <w:jc w:val="left"/>
            </w:pPr>
            <w:r>
              <w:t xml:space="preserve">€2,400.00/session</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Liaison and representation before Belgian federal and regional economic bodies, including the National Bank of Belgium, the Brussels-Capital Region government, and relevant EU institutions headquartered in Belgium Brussels</w:t>
            </w:r>
          </w:p>
        </w:tc>
        <w:tc>
          <w:tcPr/>
          <w:p>
            <w:pPr>
              <w:pStyle w:val="Compact"/>
              <w:jc w:val="left"/>
            </w:pPr>
            <w:r>
              <w:t xml:space="preserve">Ongoing</w:t>
            </w:r>
          </w:p>
        </w:tc>
        <w:tc>
          <w:tcPr/>
          <w:p>
            <w:pPr>
              <w:pStyle w:val="Compact"/>
              <w:jc w:val="left"/>
            </w:pPr>
            <w:r>
              <w:t xml:space="preserve">€195.00/hr</w:t>
            </w:r>
          </w:p>
        </w:tc>
        <w:tc>
          <w:tcPr/>
          <w:p>
            <w:pPr>
              <w:pStyle w:val="Compact"/>
              <w:jc w:val="left"/>
            </w:pPr>
            <w:r>
              <w:t xml:space="preserve">€9,800.00</w:t>
            </w:r>
          </w:p>
        </w:tc>
      </w:tr>
      <w:tr>
        <w:tc>
          <w:tcPr/>
          <w:p>
            <w:pPr>
              <w:pStyle w:val="Compact"/>
              <w:jc w:val="left"/>
            </w:pPr>
            <w:r>
              <w:t xml:space="preserve">6</w:t>
            </w:r>
          </w:p>
        </w:tc>
        <w:tc>
          <w:tcPr/>
          <w:p>
            <w:pPr>
              <w:pStyle w:val="Compact"/>
              <w:jc w:val="left"/>
            </w:pPr>
            <w:r>
              <w:t xml:space="preserve">Specialist research on EU fiscal policy, cross-border trade implications, and the economic impact of the 2025-2027 Multiannual Financial Framework on Belgium Brussels-based enterprises</w:t>
            </w:r>
          </w:p>
        </w:tc>
        <w:tc>
          <w:tcPr/>
          <w:p>
            <w:pPr>
              <w:pStyle w:val="Compact"/>
              <w:jc w:val="left"/>
            </w:pPr>
            <w:r>
              <w:t xml:space="preserve">4 weeks</w:t>
            </w:r>
          </w:p>
        </w:tc>
        <w:tc>
          <w:tcPr/>
          <w:p>
            <w:pPr>
              <w:pStyle w:val="Compact"/>
              <w:jc w:val="left"/>
            </w:pPr>
            <w:r>
              <w:t xml:space="preserve">Fixed fee</w:t>
            </w:r>
          </w:p>
        </w:tc>
        <w:tc>
          <w:tcPr/>
          <w:p>
            <w:pPr>
              <w:pStyle w:val="Compact"/>
              <w:jc w:val="left"/>
            </w:pPr>
            <w:r>
              <w:t xml:space="preserve">€7,500.00</w:t>
            </w:r>
          </w:p>
        </w:tc>
      </w:tr>
      <w:tr>
        <w:tc>
          <w:tcPr>
            <w:gridSpan w:val="4"/>
          </w:tcPr>
          <w:p>
            <w:pPr>
              <w:pStyle w:val="Compact"/>
              <w:jc w:val="right"/>
            </w:pPr>
            <w:r>
              <w:t xml:space="preserve">Subtotal (excl. VAT)</w:t>
            </w:r>
          </w:p>
        </w:tc>
        <w:tc>
          <w:tcPr/>
          <w:p>
            <w:pPr>
              <w:pStyle w:val="Compact"/>
              <w:jc w:val="left"/>
            </w:pPr>
            <w:r>
              <w:t xml:space="preserve">€69,200.00</w:t>
            </w:r>
          </w:p>
        </w:tc>
      </w:tr>
      <w:tr>
        <w:tc>
          <w:tcPr>
            <w:gridSpan w:val="4"/>
          </w:tcPr>
          <w:p>
            <w:pPr>
              <w:pStyle w:val="Compact"/>
              <w:jc w:val="right"/>
            </w:pPr>
            <w:r>
              <w:t xml:space="preserve">VAT (21%)</w:t>
            </w:r>
          </w:p>
        </w:tc>
        <w:tc>
          <w:tcPr/>
          <w:p>
            <w:pPr>
              <w:pStyle w:val="Compact"/>
              <w:jc w:val="left"/>
            </w:pPr>
            <w:r>
              <w:t xml:space="preserve">€14,532.00</w:t>
            </w:r>
          </w:p>
        </w:tc>
      </w:tr>
      <w:tr>
        <w:tc>
          <w:tcPr>
            <w:gridSpan w:val="4"/>
          </w:tcPr>
          <w:p>
            <w:pPr>
              <w:pStyle w:val="Compact"/>
              <w:jc w:val="right"/>
            </w:pPr>
            <w:r>
              <w:t xml:space="preserve">TOTAL AMOUNT DUE (incl. VAT)</w:t>
            </w:r>
          </w:p>
        </w:tc>
        <w:tc>
          <w:tcPr/>
          <w:p>
            <w:pPr>
              <w:pStyle w:val="Compact"/>
              <w:jc w:val="left"/>
            </w:pPr>
            <w:r>
              <w:t xml:space="preserve">€83,732.00</w:t>
            </w:r>
          </w:p>
        </w:tc>
      </w:tr>
    </w:tbl>
    <w:bookmarkEnd w:id="22"/>
    <w:bookmarkStart w:id="23" w:name="qualifications-of-the-economist"/>
    <w:p>
      <w:pPr>
        <w:pStyle w:val="Heading2"/>
      </w:pPr>
      <w:r>
        <w:t xml:space="preserve">3. Qualifications of the Economist</w:t>
      </w:r>
    </w:p>
    <w:p>
      <w:pPr>
        <w:pStyle w:val="FirstParagraph"/>
      </w:pPr>
      <w:r>
        <w:t xml:space="preserve">The</w:t>
      </w:r>
      <w:r>
        <w:t xml:space="preserve"> </w:t>
      </w:r>
      <w:r>
        <w:t xml:space="preserve">Economist</w:t>
      </w:r>
      <w:r>
        <w:t xml:space="preserve"> </w:t>
      </w:r>
      <w:r>
        <w:t xml:space="preserve">assigned to this engagement holds a Doctorate in Economics from the Université libre de Bruxelles (ULB), possesses over fifteen years of professional experience in macroeconomic and microeconomic analysis, and is a registered member of the Royal Belgian Economic Association. The Economist is fluent in English, French, and Dutch, ensuring seamless communication with all stakeholders across the linguistic communities of Belgium Brussels. The Economist is also familiar with the specific institutional landscape of Brussels as the de facto capital of the European Union, including the operational frameworks of the European Commission, the European Central Bank, and the European Investment Bank.</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remains valid for a period of ninety (90) calendar days from the date of issue. Beyond this period, all rates and fees are subject to revision based on prevailing market conditions in Belgium Brussels.</w:t>
      </w:r>
    </w:p>
    <w:p>
      <w:pPr>
        <w:numPr>
          <w:ilvl w:val="0"/>
          <w:numId w:val="1001"/>
        </w:numPr>
        <w:pStyle w:val="Compact"/>
      </w:pPr>
      <w:r>
        <w:rPr>
          <w:bCs/>
          <w:b/>
        </w:rPr>
        <w:t xml:space="preserve">Payment Terms:</w:t>
      </w:r>
      <w:r>
        <w:t xml:space="preserve"> </w:t>
      </w:r>
      <w:r>
        <w:t xml:space="preserve">A non-refundable advance payment of 30% of the total amount is due upon acceptance of this Quotation Estimate. The remaining 70% shall be invoiced in two equal instalments: 50% at the midpoint of the engagement and 50% upon final delivery of all deliverables. Payment is due within thirty (30) days of invoice date via bank transfer to the account of EuroAnalytica Consulting S.A., BIC: GEBBEBBE, IBAN: BE68 5390 0754 7034.</w:t>
      </w:r>
    </w:p>
    <w:p>
      <w:pPr>
        <w:numPr>
          <w:ilvl w:val="0"/>
          <w:numId w:val="1001"/>
        </w:numPr>
        <w:pStyle w:val="Compact"/>
      </w:pPr>
      <w:r>
        <w:rPr>
          <w:bCs/>
          <w:b/>
        </w:rPr>
        <w:t xml:space="preserve">Confidentiality:</w:t>
      </w:r>
      <w:r>
        <w:t xml:space="preserve"> </w:t>
      </w:r>
      <w:r>
        <w:t xml:space="preserve">The Economist shall adhere to strict confidentiality obligations in accordance with the Belgian Data Protection Act (2018) and the General Data Protection Regulation (GDPR). All economic data, proprietary analyses, and strategic recommendations produced under this engagement shall remain the exclusive property of the client.</w:t>
      </w:r>
    </w:p>
    <w:p>
      <w:pPr>
        <w:numPr>
          <w:ilvl w:val="0"/>
          <w:numId w:val="1001"/>
        </w:numPr>
        <w:pStyle w:val="Compact"/>
      </w:pPr>
      <w:r>
        <w:rPr>
          <w:bCs/>
          <w:b/>
        </w:rPr>
        <w:t xml:space="preserve">Intellectual Property:</w:t>
      </w:r>
      <w:r>
        <w:t xml:space="preserve"> </w:t>
      </w:r>
      <w:r>
        <w:t xml:space="preserve">All reports, models, forecasts, and analytical outputs generated by the Economist specifically for the client under this Quotation Estimate shall be the intellectual property of the client upon full payment.</w:t>
      </w:r>
    </w:p>
    <w:p>
      <w:pPr>
        <w:numPr>
          <w:ilvl w:val="0"/>
          <w:numId w:val="1001"/>
        </w:numPr>
        <w:pStyle w:val="Compact"/>
      </w:pPr>
      <w:r>
        <w:rPr>
          <w:bCs/>
          <w:b/>
        </w:rPr>
        <w:t xml:space="preserve">Termination:</w:t>
      </w:r>
      <w:r>
        <w:t xml:space="preserve"> </w:t>
      </w:r>
      <w:r>
        <w:t xml:space="preserve">Either party may terminate the engagement with thirty (30) days' written notice. In the event of early termination, the client shall be liable for all services rendered up to the date of termination, as itemized in a final invoice.</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Kingdom of Belgium. Any disputes shall be submitted to the exclusive jurisdiction of the Commercial Court of Brussels.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acts of government, or disruptions to public services in Belgium Brussels.</w:t>
      </w:r>
    </w:p>
    <w:p>
      <w:pPr>
        <w:numPr>
          <w:ilvl w:val="0"/>
          <w:numId w:val="1001"/>
        </w:numPr>
        <w:pStyle w:val="Compact"/>
      </w:pPr>
      <w:r>
        <w:rPr>
          <w:bCs/>
          <w:b/>
        </w:rPr>
        <w:t xml:space="preserve">Revisions:</w:t>
      </w:r>
      <w:r>
        <w:t xml:space="preserve"> </w:t>
      </w:r>
      <w:r>
        <w:t xml:space="preserve">This Quotation Estimate may be amended only by mutual written agreement of both parties. Any verbal modifications shall be null and void.</w:t>
      </w:r>
    </w:p>
    <w:bookmarkEnd w:id="24"/>
    <w:bookmarkStart w:id="25"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projections set forth herein for the engagement of the</w:t>
      </w:r>
      <w:r>
        <w:t xml:space="preserve"> </w:t>
      </w:r>
      <w:r>
        <w:t xml:space="preserve">Economist</w:t>
      </w:r>
      <w:r>
        <w:t xml:space="preserve"> </w:t>
      </w:r>
      <w:r>
        <w:t xml:space="preserve">in</w:t>
      </w:r>
      <w:r>
        <w:t xml:space="preserve"> </w:t>
      </w:r>
      <w:r>
        <w:t xml:space="preserve">Belgium Brussels</w:t>
      </w:r>
      <w:r>
        <w:t xml:space="preserve">. This signature constitutes a binding acceptance of the services and fees described in this document.</w:t>
      </w:r>
    </w:p>
    <w:p>
      <w:pPr>
        <w:pStyle w:val="BodyText"/>
      </w:pPr>
      <w:r>
        <w:rPr>
          <w:bCs/>
          <w:b/>
        </w:rPr>
        <w:t xml:space="preserve">For EuroAnalytica Consulting S.A.</w:t>
      </w:r>
    </w:p>
    <w:p>
      <w:pPr>
        <w:pStyle w:val="BodyText"/>
      </w:pPr>
      <w:r>
        <w:t xml:space="preserve">Dr. Margaux Delvaux — Senior Economist &amp; Engagement Director</w:t>
      </w:r>
      <w:r>
        <w:br/>
      </w:r>
      <w:r>
        <w:t xml:space="preserve">Date: _______________</w:t>
      </w:r>
    </w:p>
    <w:p>
      <w:pPr>
        <w:pStyle w:val="BodyText"/>
      </w:pPr>
      <w:r>
        <w:rPr>
          <w:bCs/>
          <w:b/>
        </w:rPr>
        <w:t xml:space="preserve">For the Client</w:t>
      </w:r>
    </w:p>
    <w:p>
      <w:pPr>
        <w:pStyle w:val="BodyText"/>
      </w:pPr>
      <w:r>
        <w:t xml:space="preserve">Authorized Signatory — [Client Organization]</w:t>
      </w:r>
      <w:r>
        <w:br/>
      </w:r>
      <w:r>
        <w:t xml:space="preserve">Date: _______________</w:t>
      </w:r>
    </w:p>
    <w:p>
      <w:pPr>
        <w:pStyle w:val="BodyText"/>
      </w:pPr>
      <w:r>
        <w:t xml:space="preserve">EuroAnalytica Consulting S.A. | Rue de la Loi 42, 1040 Brussels, Belgium | VAT No. BE 0765.432.198</w:t>
      </w:r>
      <w:r>
        <w:br/>
      </w:r>
      <w:r>
        <w:t xml:space="preserve">This Quotation Estimate is a confidential document intended solely for the named client. Unauthorized reproduction or distribution is prohibited under Belgian law.</w:t>
      </w:r>
      <w:r>
        <w:br/>
      </w:r>
      <w:r>
        <w:t xml:space="preserve">© 2025 EuroAnalytica Consulting S.A.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Belgium Brussels</dc:title>
  <dc:creator/>
  <dc:language>en</dc:language>
  <cp:keywords/>
  <dcterms:created xsi:type="dcterms:W3CDTF">2026-10-10T09:17:09Z</dcterms:created>
  <dcterms:modified xsi:type="dcterms:W3CDTF">2026-10-10T09:17:09Z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