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quotation-estimate"/>
    <w:p>
      <w:pPr>
        <w:pStyle w:val="Heading1"/>
      </w:pPr>
      <w:r>
        <w:t xml:space="preserve">QUOTATION ESTIMATE</w:t>
      </w:r>
    </w:p>
    <w:p>
      <w:pPr>
        <w:pStyle w:val="FirstParagraph"/>
      </w:pPr>
      <w:r>
        <w:t xml:space="preserve">Professional Economist Services — Santiago, Chile</w:t>
      </w:r>
    </w:p>
    <w:p>
      <w:pPr>
        <w:pStyle w:val="BodyText"/>
      </w:pPr>
      <w:r>
        <w:t xml:space="preserve">Document Reference: QE-ECO-2025-0847 | Issued in Santiago, Chile</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QE-ECO-2025-0847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c>
          <w:tcPr/>
          <w:p>
            <w:pPr>
              <w:pStyle w:val="Compact"/>
              <w:jc w:val="left"/>
            </w:pPr>
            <w:r>
              <w:t xml:space="preserve">Currency:</w:t>
            </w:r>
          </w:p>
        </w:tc>
        <w:tc>
          <w:tcPr/>
          <w:p>
            <w:pPr>
              <w:pStyle w:val="Compact"/>
              <w:jc w:val="left"/>
            </w:pPr>
            <w:r>
              <w:t xml:space="preserve">Chilean Peso (CLP) / US Dollar (USD)</w:t>
            </w:r>
          </w:p>
        </w:tc>
      </w:tr>
      <w:tr>
        <w:tc>
          <w:tcPr/>
          <w:p>
            <w:pPr>
              <w:pStyle w:val="Compact"/>
              <w:jc w:val="left"/>
            </w:pPr>
            <w:r>
              <w:t xml:space="preserve">Service Location:</w:t>
            </w:r>
          </w:p>
        </w:tc>
        <w:tc>
          <w:tcPr>
            <w:gridSpan w:val="3"/>
          </w:tcPr>
          <w:p>
            <w:pPr>
              <w:pStyle w:val="Compact"/>
              <w:jc w:val="left"/>
            </w:pPr>
            <w:r>
              <w:t xml:space="preserve">Santiago, Chile — Metropolitan Region (Región Metropolitana)</w:t>
            </w:r>
          </w:p>
        </w:tc>
      </w:tr>
      <w:tr>
        <w:tc>
          <w:tcPr/>
          <w:p>
            <w:pPr>
              <w:pStyle w:val="Compact"/>
              <w:jc w:val="left"/>
            </w:pPr>
            <w:r>
              <w:t xml:space="preserve">Prepared By:</w:t>
            </w:r>
          </w:p>
        </w:tc>
        <w:tc>
          <w:tcPr/>
          <w:p>
            <w:pPr>
              <w:pStyle w:val="Compact"/>
              <w:jc w:val="left"/>
            </w:pPr>
            <w:r>
              <w:t xml:space="preserve">Dr. Carolina Fuentes Vega, Ph.D. in Economics</w:t>
            </w:r>
          </w:p>
        </w:tc>
        <w:tc>
          <w:tcPr/>
          <w:p>
            <w:pPr>
              <w:pStyle w:val="Compact"/>
              <w:jc w:val="left"/>
            </w:pPr>
            <w:r>
              <w:t xml:space="preserve">Firm:</w:t>
            </w:r>
          </w:p>
        </w:tc>
        <w:tc>
          <w:tcPr/>
          <w:p>
            <w:pPr>
              <w:pStyle w:val="Compact"/>
              <w:jc w:val="left"/>
            </w:pPr>
            <w:r>
              <w:t xml:space="preserve">Andes Economic Consulting S.A.</w:t>
            </w:r>
          </w:p>
        </w:tc>
      </w:tr>
      <w:tr>
        <w:tc>
          <w:tcPr/>
          <w:p>
            <w:pPr>
              <w:pStyle w:val="Compact"/>
              <w:jc w:val="left"/>
            </w:pPr>
            <w:r>
              <w:t xml:space="preserve">Client:</w:t>
            </w:r>
          </w:p>
        </w:tc>
        <w:tc>
          <w:tcPr>
            <w:gridSpan w:val="3"/>
          </w:tcPr>
          <w:p>
            <w:pPr>
              <w:pStyle w:val="Compact"/>
              <w:jc w:val="left"/>
            </w:pPr>
            <w:r>
              <w:t xml:space="preserve">[Client Name / Organization], Santiago, Chile</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Andes Economic Consulting S.A., a registered professional firm operating in Santiago, Chile, to provide a comprehensive and transparent breakdown of costs associated with the engagement of a senior</w:t>
      </w:r>
      <w:r>
        <w:t xml:space="preserve"> </w:t>
      </w:r>
      <w:r>
        <w:t xml:space="preserve">Economist</w:t>
      </w:r>
      <w:r>
        <w:t xml:space="preserve"> </w:t>
      </w:r>
      <w:r>
        <w:t xml:space="preserve">for advisory, analytical, and strategic services. This document serves as the official</w:t>
      </w:r>
      <w:r>
        <w:t xml:space="preserve"> </w:t>
      </w:r>
      <w:r>
        <w:t xml:space="preserve">Quotation Estimate</w:t>
      </w:r>
      <w:r>
        <w:t xml:space="preserve"> </w:t>
      </w:r>
      <w:r>
        <w:t xml:space="preserve">for all economic consulting deliverables to be performed within the jurisdiction of Chile Santiago, in full compliance with the regulations established by the Superintendencia de Valores y Seguros (SVS) and the Chilean tax authority, Servicio de Impuestos Internos (SII).</w:t>
      </w:r>
    </w:p>
    <w:bookmarkEnd w:id="21"/>
    <w:bookmarkStart w:id="22" w:name="scope-of-economist-services"/>
    <w:p>
      <w:pPr>
        <w:pStyle w:val="Heading2"/>
      </w:pPr>
      <w:r>
        <w:t xml:space="preserve">2. Scope of Economist Services</w:t>
      </w:r>
    </w:p>
    <w:p>
      <w:pPr>
        <w:pStyle w:val="FirstParagraph"/>
      </w:pPr>
      <w:r>
        <w:t xml:space="preserve">The</w:t>
      </w:r>
      <w:r>
        <w:t xml:space="preserve"> </w:t>
      </w:r>
      <w:r>
        <w:t xml:space="preserve">Economist</w:t>
      </w:r>
      <w:r>
        <w:t xml:space="preserve"> </w:t>
      </w:r>
      <w:r>
        <w:t xml:space="preserve">engaged under this</w:t>
      </w:r>
      <w:r>
        <w:t xml:space="preserve"> </w:t>
      </w:r>
      <w:r>
        <w:t xml:space="preserve">Quotation Estimate</w:t>
      </w:r>
      <w:r>
        <w:t xml:space="preserve"> </w:t>
      </w:r>
      <w:r>
        <w:t xml:space="preserve">shall provide the following specialized services tailored to the economic landscape of Chile Santiago:</w:t>
      </w:r>
    </w:p>
    <w:p>
      <w:pPr>
        <w:numPr>
          <w:ilvl w:val="0"/>
          <w:numId w:val="1001"/>
        </w:numPr>
        <w:pStyle w:val="Compact"/>
      </w:pPr>
      <w:r>
        <w:rPr>
          <w:bCs/>
          <w:b/>
        </w:rPr>
        <w:t xml:space="preserve">Macroeconomic Analysis:</w:t>
      </w:r>
      <w:r>
        <w:t xml:space="preserve"> </w:t>
      </w:r>
      <w:r>
        <w:t xml:space="preserve">Comprehensive assessment of Chile's GDP trajectory, inflation trends (IPC), monetary policy implications from Banco Central de Chile, and fiscal policy outlook for the Santiago metropolitan region.</w:t>
      </w:r>
    </w:p>
    <w:p>
      <w:pPr>
        <w:numPr>
          <w:ilvl w:val="0"/>
          <w:numId w:val="1001"/>
        </w:numPr>
        <w:pStyle w:val="Compact"/>
      </w:pPr>
      <w:r>
        <w:rPr>
          <w:bCs/>
          <w:b/>
        </w:rPr>
        <w:t xml:space="preserve">Market Research &amp; Forecasting:</w:t>
      </w:r>
      <w:r>
        <w:t xml:space="preserve"> </w:t>
      </w:r>
      <w:r>
        <w:t xml:space="preserve">Detailed sectoral analysis of key industries operating in Chile Santiago, including mining, agriculture, technology, and financial services, with quarterly projections.</w:t>
      </w:r>
    </w:p>
    <w:p>
      <w:pPr>
        <w:numPr>
          <w:ilvl w:val="0"/>
          <w:numId w:val="1001"/>
        </w:numPr>
        <w:pStyle w:val="Compact"/>
      </w:pPr>
      <w:r>
        <w:rPr>
          <w:bCs/>
          <w:b/>
        </w:rPr>
        <w:t xml:space="preserve">Investment Feasibility Studies:</w:t>
      </w:r>
      <w:r>
        <w:t xml:space="preserve"> </w:t>
      </w:r>
      <w:r>
        <w:t xml:space="preserve">Economic viability assessments for proposed capital projects, incorporating risk modeling, sensitivity analysis, and return-on-investment calculations specific to the Chilean regulatory environment.</w:t>
      </w:r>
    </w:p>
    <w:p>
      <w:pPr>
        <w:numPr>
          <w:ilvl w:val="0"/>
          <w:numId w:val="1001"/>
        </w:numPr>
        <w:pStyle w:val="Compact"/>
      </w:pPr>
      <w:r>
        <w:rPr>
          <w:bCs/>
          <w:b/>
        </w:rPr>
        <w:t xml:space="preserve">Regulatory &amp; Policy Advisory:</w:t>
      </w:r>
      <w:r>
        <w:t xml:space="preserve"> </w:t>
      </w:r>
      <w:r>
        <w:t xml:space="preserve">Guidance on compliance with Chilean economic regulations, trade agreements (including those under the Pacific Alliance and bilateral treaties), and tax optimization strategies applicable in Santiago.</w:t>
      </w:r>
    </w:p>
    <w:p>
      <w:pPr>
        <w:numPr>
          <w:ilvl w:val="0"/>
          <w:numId w:val="1001"/>
        </w:numPr>
        <w:pStyle w:val="Compact"/>
      </w:pPr>
      <w:r>
        <w:rPr>
          <w:bCs/>
          <w:b/>
        </w:rPr>
        <w:t xml:space="preserve">Board-Level Presentations:</w:t>
      </w:r>
      <w:r>
        <w:t xml:space="preserve"> </w:t>
      </w:r>
      <w:r>
        <w:t xml:space="preserve">Preparation and delivery of executive economic briefings for corporate boards, government agencies, or institutional investors based in Chile Santiago.</w:t>
      </w:r>
    </w:p>
    <w:p>
      <w:pPr>
        <w:numPr>
          <w:ilvl w:val="0"/>
          <w:numId w:val="1001"/>
        </w:numPr>
        <w:pStyle w:val="Compact"/>
      </w:pPr>
      <w:r>
        <w:rPr>
          <w:bCs/>
          <w:b/>
        </w:rPr>
        <w:t xml:space="preserve">Ongoing Economic Monitoring:</w:t>
      </w:r>
      <w:r>
        <w:t xml:space="preserve"> </w:t>
      </w:r>
      <w:r>
        <w:t xml:space="preserve">Monthly reporting on key economic indicators, labor market dynamics, and currency fluctuations (CLP/USD, CLP/EUR) relevant to the client's operations in Chile Santiago.</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Economist Service Description</w:t>
            </w:r>
          </w:p>
        </w:tc>
        <w:tc>
          <w:tcPr/>
          <w:p>
            <w:pPr>
              <w:pStyle w:val="Compact"/>
              <w:jc w:val="left"/>
            </w:pPr>
            <w:r>
              <w:t xml:space="preserve">Duration / Units</w:t>
            </w:r>
          </w:p>
        </w:tc>
        <w:tc>
          <w:tcPr/>
          <w:p>
            <w:pPr>
              <w:pStyle w:val="Compact"/>
              <w:jc w:val="left"/>
            </w:pPr>
            <w:r>
              <w:t xml:space="preserve">Rate (CLP)</w:t>
            </w:r>
          </w:p>
        </w:tc>
        <w:tc>
          <w:tcPr/>
          <w:p>
            <w:pPr>
              <w:pStyle w:val="Compact"/>
              <w:jc w:val="left"/>
            </w:pPr>
            <w:r>
              <w:t xml:space="preserve">Rate (USD)</w:t>
            </w:r>
          </w:p>
        </w:tc>
        <w:tc>
          <w:tcPr/>
          <w:p>
            <w:pPr>
              <w:pStyle w:val="Compact"/>
              <w:jc w:val="left"/>
            </w:pPr>
            <w:r>
              <w:t xml:space="preserve">Subtotal (CLP)</w:t>
            </w:r>
          </w:p>
        </w:tc>
      </w:tr>
      <w:tr>
        <w:tc>
          <w:tcPr/>
          <w:p>
            <w:pPr>
              <w:pStyle w:val="Compact"/>
              <w:jc w:val="left"/>
            </w:pPr>
            <w:r>
              <w:t xml:space="preserve">1</w:t>
            </w:r>
          </w:p>
        </w:tc>
        <w:tc>
          <w:tcPr/>
          <w:p>
            <w:pPr>
              <w:pStyle w:val="Compact"/>
              <w:jc w:val="left"/>
            </w:pPr>
            <w:r>
              <w:t xml:space="preserve">Initial Macroeconomic Diagnostic Report for Chile Santiago</w:t>
            </w:r>
          </w:p>
        </w:tc>
        <w:tc>
          <w:tcPr/>
          <w:p>
            <w:pPr>
              <w:pStyle w:val="Compact"/>
              <w:jc w:val="left"/>
            </w:pPr>
            <w:r>
              <w:t xml:space="preserve">1 deliverable</w:t>
            </w:r>
          </w:p>
        </w:tc>
        <w:tc>
          <w:tcPr/>
          <w:p>
            <w:pPr>
              <w:pStyle w:val="Compact"/>
              <w:jc w:val="left"/>
            </w:pPr>
            <w:r>
              <w:t xml:space="preserve">1,850,000</w:t>
            </w:r>
          </w:p>
        </w:tc>
        <w:tc>
          <w:tcPr/>
          <w:p>
            <w:pPr>
              <w:pStyle w:val="Compact"/>
              <w:jc w:val="left"/>
            </w:pPr>
            <w:r>
              <w:t xml:space="preserve">2,100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Quarterly Economic Forecasting &amp; Sectoral Analysis (4 quarters)</w:t>
            </w:r>
          </w:p>
        </w:tc>
        <w:tc>
          <w:tcPr/>
          <w:p>
            <w:pPr>
              <w:pStyle w:val="Compact"/>
              <w:jc w:val="left"/>
            </w:pPr>
            <w:r>
              <w:t xml:space="preserve">4 reports</w:t>
            </w:r>
          </w:p>
        </w:tc>
        <w:tc>
          <w:tcPr/>
          <w:p>
            <w:pPr>
              <w:pStyle w:val="Compact"/>
              <w:jc w:val="left"/>
            </w:pPr>
            <w:r>
              <w:t xml:space="preserve">1,200,000</w:t>
            </w:r>
          </w:p>
        </w:tc>
        <w:tc>
          <w:tcPr/>
          <w:p>
            <w:pPr>
              <w:pStyle w:val="Compact"/>
              <w:jc w:val="left"/>
            </w:pPr>
            <w:r>
              <w:t xml:space="preserve">1,360</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Investment Feasibility Study (single project, Santiago region)</w:t>
            </w:r>
          </w:p>
        </w:tc>
        <w:tc>
          <w:tcPr/>
          <w:p>
            <w:pPr>
              <w:pStyle w:val="Compact"/>
              <w:jc w:val="left"/>
            </w:pPr>
            <w:r>
              <w:t xml:space="preserve">1 study</w:t>
            </w:r>
          </w:p>
        </w:tc>
        <w:tc>
          <w:tcPr/>
          <w:p>
            <w:pPr>
              <w:pStyle w:val="Compact"/>
              <w:jc w:val="left"/>
            </w:pPr>
            <w:r>
              <w:t xml:space="preserve">3,500,000</w:t>
            </w:r>
          </w:p>
        </w:tc>
        <w:tc>
          <w:tcPr/>
          <w:p>
            <w:pPr>
              <w:pStyle w:val="Compact"/>
              <w:jc w:val="left"/>
            </w:pPr>
            <w:r>
              <w:t xml:space="preserve">3,980</w:t>
            </w:r>
          </w:p>
        </w:tc>
        <w:tc>
          <w:tcPr/>
          <w:p>
            <w:pPr>
              <w:pStyle w:val="Compact"/>
              <w:jc w:val="left"/>
            </w:pPr>
            <w:r>
              <w:t xml:space="preserve">3,500,000</w:t>
            </w:r>
          </w:p>
        </w:tc>
      </w:tr>
      <w:tr>
        <w:tc>
          <w:tcPr/>
          <w:p>
            <w:pPr>
              <w:pStyle w:val="Compact"/>
              <w:jc w:val="left"/>
            </w:pPr>
            <w:r>
              <w:t xml:space="preserve">4</w:t>
            </w:r>
          </w:p>
        </w:tc>
        <w:tc>
          <w:tcPr/>
          <w:p>
            <w:pPr>
              <w:pStyle w:val="Compact"/>
              <w:jc w:val="left"/>
            </w:pPr>
            <w:r>
              <w:t xml:space="preserve">Monthly Economic Monitoring &amp; Advisory (12 months)</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965</w:t>
            </w:r>
          </w:p>
        </w:tc>
        <w:tc>
          <w:tcPr/>
          <w:p>
            <w:pPr>
              <w:pStyle w:val="Compact"/>
              <w:jc w:val="left"/>
            </w:pPr>
            <w:r>
              <w:t xml:space="preserve">10,200,000</w:t>
            </w:r>
          </w:p>
        </w:tc>
      </w:tr>
      <w:tr>
        <w:tc>
          <w:tcPr/>
          <w:p>
            <w:pPr>
              <w:pStyle w:val="Compact"/>
              <w:jc w:val="left"/>
            </w:pPr>
            <w:r>
              <w:t xml:space="preserve">5</w:t>
            </w:r>
          </w:p>
        </w:tc>
        <w:tc>
          <w:tcPr/>
          <w:p>
            <w:pPr>
              <w:pStyle w:val="Compact"/>
              <w:jc w:val="left"/>
            </w:pPr>
            <w:r>
              <w:t xml:space="preserve">Board-Level Presentation &amp; Executive Briefing (per session)</w:t>
            </w:r>
          </w:p>
        </w:tc>
        <w:tc>
          <w:tcPr/>
          <w:p>
            <w:pPr>
              <w:pStyle w:val="Compact"/>
              <w:jc w:val="left"/>
            </w:pPr>
            <w:r>
              <w:t xml:space="preserve">6 sessions</w:t>
            </w:r>
          </w:p>
        </w:tc>
        <w:tc>
          <w:tcPr/>
          <w:p>
            <w:pPr>
              <w:pStyle w:val="Compact"/>
              <w:jc w:val="left"/>
            </w:pPr>
            <w:r>
              <w:t xml:space="preserve">600,000</w:t>
            </w:r>
          </w:p>
        </w:tc>
        <w:tc>
          <w:tcPr/>
          <w:p>
            <w:pPr>
              <w:pStyle w:val="Compact"/>
              <w:jc w:val="left"/>
            </w:pPr>
            <w:r>
              <w:t xml:space="preserve">680</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Regulatory Compliance &amp; Tax Advisory (Chile Santiago jurisdiction)</w:t>
            </w:r>
          </w:p>
        </w:tc>
        <w:tc>
          <w:tcPr/>
          <w:p>
            <w:pPr>
              <w:pStyle w:val="Compact"/>
              <w:jc w:val="left"/>
            </w:pPr>
            <w:r>
              <w:t xml:space="preserve">3 engagements</w:t>
            </w:r>
          </w:p>
        </w:tc>
        <w:tc>
          <w:tcPr/>
          <w:p>
            <w:pPr>
              <w:pStyle w:val="Compact"/>
              <w:jc w:val="left"/>
            </w:pPr>
            <w:r>
              <w:t xml:space="preserve">950,000</w:t>
            </w:r>
          </w:p>
        </w:tc>
        <w:tc>
          <w:tcPr/>
          <w:p>
            <w:pPr>
              <w:pStyle w:val="Compact"/>
              <w:jc w:val="left"/>
            </w:pPr>
            <w:r>
              <w:t xml:space="preserve">1,080</w:t>
            </w:r>
          </w:p>
        </w:tc>
        <w:tc>
          <w:tcPr/>
          <w:p>
            <w:pPr>
              <w:pStyle w:val="Compact"/>
              <w:jc w:val="left"/>
            </w:pPr>
            <w:r>
              <w:t xml:space="preserve">2,850,000</w:t>
            </w:r>
          </w:p>
        </w:tc>
      </w:tr>
      <w:tr>
        <w:tc>
          <w:tcPr/>
          <w:p>
            <w:pPr>
              <w:pStyle w:val="Compact"/>
              <w:jc w:val="left"/>
            </w:pPr>
            <w:r>
              <w:t xml:space="preserve">7</w:t>
            </w:r>
          </w:p>
        </w:tc>
        <w:tc>
          <w:tcPr/>
          <w:p>
            <w:pPr>
              <w:pStyle w:val="Compact"/>
              <w:jc w:val="left"/>
            </w:pPr>
            <w:r>
              <w:t xml:space="preserve">On-site Consultation in Santiago, Chile (per day)</w:t>
            </w:r>
          </w:p>
        </w:tc>
        <w:tc>
          <w:tcPr/>
          <w:p>
            <w:pPr>
              <w:pStyle w:val="Compact"/>
              <w:jc w:val="left"/>
            </w:pPr>
            <w:r>
              <w:t xml:space="preserve">5 days</w:t>
            </w:r>
          </w:p>
        </w:tc>
        <w:tc>
          <w:tcPr/>
          <w:p>
            <w:pPr>
              <w:pStyle w:val="Compact"/>
              <w:jc w:val="left"/>
            </w:pPr>
            <w:r>
              <w:t xml:space="preserve">750,000</w:t>
            </w:r>
          </w:p>
        </w:tc>
        <w:tc>
          <w:tcPr/>
          <w:p>
            <w:pPr>
              <w:pStyle w:val="Compact"/>
              <w:jc w:val="left"/>
            </w:pPr>
            <w:r>
              <w:t xml:space="preserve">850</w:t>
            </w:r>
          </w:p>
        </w:tc>
        <w:tc>
          <w:tcPr/>
          <w:p>
            <w:pPr>
              <w:pStyle w:val="Compact"/>
              <w:jc w:val="left"/>
            </w:pPr>
            <w:r>
              <w:t xml:space="preserve">3,750,000</w:t>
            </w:r>
          </w:p>
        </w:tc>
      </w:tr>
      <w:tr>
        <w:tc>
          <w:tcPr>
            <w:gridSpan w:val="5"/>
          </w:tcPr>
          <w:p>
            <w:pPr>
              <w:pStyle w:val="Compact"/>
              <w:jc w:val="right"/>
            </w:pPr>
            <w:r>
              <w:t xml:space="preserve">TOTAL ESTIMATED COST (before IVA):</w:t>
            </w:r>
          </w:p>
        </w:tc>
        <w:tc>
          <w:tcPr/>
          <w:p>
            <w:pPr>
              <w:pStyle w:val="Compact"/>
              <w:jc w:val="left"/>
            </w:pPr>
            <w:r>
              <w:t xml:space="preserve">30,550,000</w:t>
            </w:r>
          </w:p>
        </w:tc>
      </w:tr>
      <w:tr>
        <w:tc>
          <w:tcPr>
            <w:gridSpan w:val="5"/>
          </w:tcPr>
          <w:p>
            <w:pPr>
              <w:pStyle w:val="Compact"/>
              <w:jc w:val="right"/>
            </w:pPr>
            <w:r>
              <w:t xml:space="preserve">IVA (19% — Chilean Value Added Tax):</w:t>
            </w:r>
          </w:p>
        </w:tc>
        <w:tc>
          <w:tcPr/>
          <w:p>
            <w:pPr>
              <w:pStyle w:val="Compact"/>
              <w:jc w:val="left"/>
            </w:pPr>
            <w:r>
              <w:t xml:space="preserve">5,804,500</w:t>
            </w:r>
          </w:p>
        </w:tc>
      </w:tr>
      <w:tr>
        <w:tc>
          <w:tcPr>
            <w:gridSpan w:val="5"/>
          </w:tcPr>
          <w:p>
            <w:pPr>
              <w:pStyle w:val="Compact"/>
              <w:jc w:val="right"/>
            </w:pPr>
            <w:r>
              <w:t xml:space="preserve">GRAND TOTAL (CLP):</w:t>
            </w:r>
          </w:p>
        </w:tc>
        <w:tc>
          <w:tcPr/>
          <w:p>
            <w:pPr>
              <w:pStyle w:val="Compact"/>
              <w:jc w:val="left"/>
            </w:pPr>
            <w:r>
              <w:t xml:space="preserve">36,354,500</w:t>
            </w:r>
          </w:p>
        </w:tc>
      </w:tr>
      <w:tr>
        <w:tc>
          <w:tcPr>
            <w:gridSpan w:val="5"/>
          </w:tcPr>
          <w:p>
            <w:pPr>
              <w:pStyle w:val="Compact"/>
              <w:jc w:val="right"/>
            </w:pPr>
            <w:r>
              <w:t xml:space="preserve">GRAND TOTAL (USD, approx. at CLP 880/USD):</w:t>
            </w:r>
          </w:p>
        </w:tc>
        <w:tc>
          <w:tcPr/>
          <w:p>
            <w:pPr>
              <w:pStyle w:val="Compact"/>
              <w:jc w:val="left"/>
            </w:pPr>
            <w:r>
              <w:t xml:space="preserve">$41,312</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is valid for a period of thirty (30) calendar days from the date of issue. Beyond this period, the</w:t>
      </w:r>
      <w:r>
        <w:t xml:space="preserve"> </w:t>
      </w:r>
      <w:r>
        <w:t xml:space="preserve">Economist</w:t>
      </w:r>
      <w:r>
        <w:t xml:space="preserve"> </w:t>
      </w:r>
      <w:r>
        <w:t xml:space="preserve">reserves the right to revise rates due to market conditions in Chile Santiago or changes in the CLP exchange rate.</w:t>
      </w:r>
    </w:p>
    <w:p>
      <w:pPr>
        <w:pStyle w:val="BodyText"/>
      </w:pPr>
      <w:r>
        <w:rPr>
          <w:bCs/>
          <w:b/>
        </w:rPr>
        <w:t xml:space="preserve">4.2 Payment Terms:</w:t>
      </w:r>
      <w:r>
        <w:t xml:space="preserve"> </w:t>
      </w:r>
      <w:r>
        <w:t xml:space="preserve">Payment shall be structured as follows: 30% upon acceptance of this</w:t>
      </w:r>
      <w:r>
        <w:t xml:space="preserve"> </w:t>
      </w:r>
      <w:r>
        <w:t xml:space="preserve">Quotation Estimate</w:t>
      </w:r>
      <w:r>
        <w:t xml:space="preserve">, 40% upon delivery of the mid-term deliverables, and 30% upon final completion. All payments are to be made in Chilean Pesos (CLP) via bank transfer to the firm's account in Santiago, Chile, or in US Dollars (USD) via international wire transfer at the prevailing CLP/USD rate on the date of invoicing.</w:t>
      </w:r>
    </w:p>
    <w:p>
      <w:pPr>
        <w:pStyle w:val="BodyText"/>
      </w:pPr>
      <w:r>
        <w:rPr>
          <w:bCs/>
          <w:b/>
        </w:rPr>
        <w:t xml:space="preserve">4.3 Tax Compliance:</w:t>
      </w:r>
      <w:r>
        <w:t xml:space="preserve"> </w:t>
      </w:r>
      <w:r>
        <w:t xml:space="preserve">All fees are subject to the 19% IVA (Impuesto al Valor Agregado) as mandated by the Servicio de Impuestos Internos of Chile. A formal factura (invoice) will be issued in accordance with Chilean tax regulations for each payment milestone.</w:t>
      </w:r>
    </w:p>
    <w:p>
      <w:pPr>
        <w:pStyle w:val="BodyText"/>
      </w:pPr>
      <w:r>
        <w:rPr>
          <w:bCs/>
          <w:b/>
        </w:rPr>
        <w:t xml:space="preserve">4.4 Confidentiality:</w:t>
      </w:r>
      <w:r>
        <w:t xml:space="preserve"> </w:t>
      </w:r>
      <w:r>
        <w:t xml:space="preserve">The</w:t>
      </w:r>
      <w:r>
        <w:t xml:space="preserve"> </w:t>
      </w:r>
      <w:r>
        <w:t xml:space="preserve">Economist</w:t>
      </w:r>
      <w:r>
        <w:t xml:space="preserve"> </w:t>
      </w:r>
      <w:r>
        <w:t xml:space="preserve">and Andes Economic Consulting S.A. shall maintain strict confidentiality over all data, analyses, and strategic information shared during the engagement in Chile Santiago. A separate Non-Disclosure Agreement (NDA) shall be executed prior to the commencement of services.</w:t>
      </w:r>
    </w:p>
    <w:p>
      <w:pPr>
        <w:pStyle w:val="BodyText"/>
      </w:pPr>
      <w:r>
        <w:rPr>
          <w:bCs/>
          <w:b/>
        </w:rPr>
        <w:t xml:space="preserve">4.5 Intellectual Property:</w:t>
      </w:r>
      <w:r>
        <w:t xml:space="preserve"> </w:t>
      </w:r>
      <w:r>
        <w:t xml:space="preserve">All reports, forecasts, and analytical documents produced by the</w:t>
      </w:r>
      <w:r>
        <w:t xml:space="preserve"> </w:t>
      </w:r>
      <w:r>
        <w:t xml:space="preserve">Economist</w:t>
      </w:r>
      <w:r>
        <w:t xml:space="preserve"> </w:t>
      </w:r>
      <w:r>
        <w:t xml:space="preserve">under this</w:t>
      </w:r>
      <w:r>
        <w:t xml:space="preserve"> </w:t>
      </w:r>
      <w:r>
        <w:t xml:space="preserve">Quotation Estimate</w:t>
      </w:r>
      <w:r>
        <w:t xml:space="preserve"> </w:t>
      </w:r>
      <w:r>
        <w:t xml:space="preserve">shall become the exclusive property of the client upon full payment. The</w:t>
      </w:r>
      <w:r>
        <w:t xml:space="preserve"> </w:t>
      </w:r>
      <w:r>
        <w:t xml:space="preserve">Economist</w:t>
      </w:r>
      <w:r>
        <w:t xml:space="preserve"> </w:t>
      </w:r>
      <w:r>
        <w:t xml:space="preserve">retains the right to reference the engagement in professional portfolios with client anonymization.</w:t>
      </w:r>
    </w:p>
    <w:p>
      <w:pPr>
        <w:pStyle w:val="BodyText"/>
      </w:pPr>
      <w:r>
        <w:rPr>
          <w:bCs/>
          <w:b/>
        </w:rPr>
        <w:t xml:space="preserve">4.6 Force Majeure:</w:t>
      </w:r>
      <w:r>
        <w:t xml:space="preserve"> </w:t>
      </w:r>
      <w:r>
        <w:t xml:space="preserve">Neither party shall be liable for delays or non-performance resulting from events beyond reasonable control, including but not limited to natural disasters (seismic activity relevant to Chile Santiago), government-mandated closures, or significant economic disruptions in the Chilean market.</w:t>
      </w:r>
    </w:p>
    <w:p>
      <w:pPr>
        <w:pStyle w:val="BodyText"/>
      </w:pPr>
      <w:r>
        <w:rPr>
          <w:bCs/>
          <w:b/>
        </w:rPr>
        <w:t xml:space="preserve">4.7 Governing Law:</w:t>
      </w:r>
      <w:r>
        <w:t xml:space="preserve"> </w:t>
      </w:r>
      <w:r>
        <w:t xml:space="preserve">This</w:t>
      </w:r>
      <w:r>
        <w:t xml:space="preserve"> </w:t>
      </w:r>
      <w:r>
        <w:t xml:space="preserve">Quotation Estimate</w:t>
      </w:r>
      <w:r>
        <w:t xml:space="preserve"> </w:t>
      </w:r>
      <w:r>
        <w:t xml:space="preserve">and any resulting contractual relationship shall be governed by and interpreted in accordance with the laws of the Republic of Chile. Any disputes shall be resolved through arbitration in Santiago, Chile, in accordance with the rules of the Centro de Arbitraje y Conciliación de la Cámara de Comercio de Santiago.</w:t>
      </w:r>
    </w:p>
    <w:p>
      <w:pPr>
        <w:pStyle w:val="BodyText"/>
      </w:pPr>
      <w:r>
        <w:rPr>
          <w:bCs/>
          <w:b/>
        </w:rPr>
        <w:t xml:space="preserve">Important Note:</w:t>
      </w:r>
      <w:r>
        <w:t xml:space="preserve"> </w:t>
      </w:r>
      <w:r>
        <w:t xml:space="preserve">This</w:t>
      </w:r>
      <w:r>
        <w:t xml:space="preserve"> </w:t>
      </w:r>
      <w:r>
        <w:t xml:space="preserve">Quotation Estimate</w:t>
      </w:r>
      <w:r>
        <w:t xml:space="preserve"> </w:t>
      </w:r>
      <w:r>
        <w:t xml:space="preserve">is a non-binding document intended solely for the client's evaluation and budgeting purposes. It does not constitute a formal contract until both parties execute a definitive Service Agreement. The</w:t>
      </w:r>
      <w:r>
        <w:t xml:space="preserve"> </w:t>
      </w:r>
      <w:r>
        <w:t xml:space="preserve">Economist</w:t>
      </w:r>
      <w:r>
        <w:t xml:space="preserve"> </w:t>
      </w:r>
      <w:r>
        <w:t xml:space="preserve">services described herein are specifically calibrated to the economic, regulatory, and market conditions of Chile Santiago as of the date of issue.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and review of this</w:t>
      </w:r>
      <w:r>
        <w:t xml:space="preserve"> </w:t>
      </w:r>
      <w:r>
        <w:t xml:space="preserve">Quotation Estimate</w:t>
      </w:r>
      <w:r>
        <w:t xml:space="preserve"> </w:t>
      </w:r>
      <w:r>
        <w:t xml:space="preserve">for</w:t>
      </w:r>
      <w:r>
        <w:t xml:space="preserve"> </w:t>
      </w:r>
      <w:r>
        <w:t xml:space="preserve">Economist</w:t>
      </w:r>
      <w:r>
        <w:t xml:space="preserve"> </w:t>
      </w:r>
      <w:r>
        <w:t xml:space="preserve">services in Chile Santiago and agrees to the terms, conditions, and cost structure outlined herein. The</w:t>
      </w:r>
      <w:r>
        <w:t xml:space="preserve"> </w:t>
      </w:r>
      <w:r>
        <w:t xml:space="preserve">Economist</w:t>
      </w:r>
      <w:r>
        <w:t xml:space="preserve"> </w:t>
      </w:r>
      <w:r>
        <w:t xml:space="preserve">and Andes Economic Consulting S.A. confirm their availability and commitment to deliver the specified services within the agreed timelines.</w:t>
      </w:r>
    </w:p>
    <w:p>
      <w:pPr>
        <w:pStyle w:val="BodyText"/>
      </w:pPr>
      <w:r>
        <w:rPr>
          <w:bCs/>
          <w:b/>
        </w:rPr>
        <w:t xml:space="preserve">For Andes Economic Consulting S.A.</w:t>
      </w:r>
    </w:p>
    <w:p>
      <w:pPr>
        <w:pStyle w:val="BodyText"/>
      </w:pPr>
      <w:r>
        <w:t xml:space="preserve">Dr. Carolina Fuentes Vega, Ph.D.</w:t>
      </w:r>
    </w:p>
    <w:p>
      <w:pPr>
        <w:pStyle w:val="BodyText"/>
      </w:pPr>
      <w:r>
        <w:t xml:space="preserve">Lead Economist &amp; Managing Director</w:t>
      </w:r>
    </w:p>
    <w:p>
      <w:pPr>
        <w:pStyle w:val="BodyText"/>
      </w:pPr>
      <w:r>
        <w:t xml:space="preserve">Signature &amp; Date</w:t>
      </w:r>
    </w:p>
    <w:p>
      <w:pPr>
        <w:pStyle w:val="BodyText"/>
      </w:pPr>
      <w:r>
        <w:rPr>
          <w:bCs/>
          <w:b/>
        </w:rPr>
        <w:t xml:space="preserve">For the Client</w:t>
      </w:r>
    </w:p>
    <w:p>
      <w:pPr>
        <w:pStyle w:val="BodyText"/>
      </w:pPr>
      <w:r>
        <w:t xml:space="preserve">[Authorized Representative Name]</w:t>
      </w:r>
    </w:p>
    <w:p>
      <w:pPr>
        <w:pStyle w:val="BodyText"/>
      </w:pPr>
      <w:r>
        <w:t xml:space="preserve">[Title / Position]</w:t>
      </w:r>
    </w:p>
    <w:p>
      <w:pPr>
        <w:pStyle w:val="BodyText"/>
      </w:pPr>
      <w:r>
        <w:t xml:space="preserve">Signature &amp; Date</w:t>
      </w:r>
    </w:p>
    <w:p>
      <w:pPr>
        <w:pStyle w:val="BodyText"/>
      </w:pPr>
      <w:r>
        <w:t xml:space="preserve">Andes Economic Consulting S.A. | Av. Apoquindo 4501, Of. 1204, Las Condes, Santiago, Chile</w:t>
      </w:r>
    </w:p>
    <w:p>
      <w:pPr>
        <w:pStyle w:val="BodyText"/>
      </w:pPr>
      <w:r>
        <w:t xml:space="preserve">RUT: 76.543.210-K | Tel: +56 2 2345 6789 | Email: quotes@andeseco.cl</w:t>
      </w:r>
    </w:p>
    <w:p>
      <w:pPr>
        <w:pStyle w:val="BodyText"/>
      </w:pPr>
      <w:r>
        <w:t xml:space="preserve">This Quotation Estimate was prepared and issued in Santiago, Chile. © 2025 Andes Economic Consulting S.A.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Chile Santiago</dc:title>
  <dc:creator/>
  <dc:language>en</dc:language>
  <cp:keywords/>
  <dcterms:created xsi:type="dcterms:W3CDTF">2026-10-10T09:15:33Z</dcterms:created>
  <dcterms:modified xsi:type="dcterms:W3CDTF">2026-10-10T09:15:33Z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