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Economist Services &amp; Economic Consulting</w:t>
      </w:r>
    </w:p>
    <w:p>
      <w:pPr>
        <w:pStyle w:val="BodyText"/>
      </w:pPr>
      <w:r>
        <w:t xml:space="preserve">Prepared for Engagement in Germany Berlin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QE-2025-BER-0472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Service Location</w:t>
            </w:r>
          </w:p>
        </w:tc>
        <w:tc>
          <w:tcPr/>
          <w:p>
            <w:pPr>
              <w:pStyle w:val="Compact"/>
              <w:jc w:val="left"/>
            </w:pPr>
            <w:r>
              <w:t xml:space="preserve">Germany Berlin, Federal Republic of Germany</w:t>
            </w:r>
          </w:p>
        </w:tc>
      </w:tr>
      <w:tr>
        <w:tc>
          <w:tcPr/>
          <w:p>
            <w:pPr>
              <w:pStyle w:val="Compact"/>
              <w:jc w:val="left"/>
            </w:pPr>
            <w:r>
              <w:t xml:space="preserve">Prepared By</w:t>
            </w:r>
          </w:p>
        </w:tc>
        <w:tc>
          <w:tcPr/>
          <w:p>
            <w:pPr>
              <w:pStyle w:val="Compact"/>
              <w:jc w:val="left"/>
            </w:pPr>
            <w:r>
              <w:t xml:space="preserve">Dr. Markus Hoffmann, Senior Economist &amp; Lead Consultant</w:t>
            </w:r>
          </w:p>
        </w:tc>
      </w:tr>
      <w:tr>
        <w:tc>
          <w:tcPr/>
          <w:p>
            <w:pPr>
              <w:pStyle w:val="Compact"/>
              <w:jc w:val="left"/>
            </w:pPr>
            <w:r>
              <w:t xml:space="preserve">Company</w:t>
            </w:r>
          </w:p>
        </w:tc>
        <w:tc>
          <w:tcPr/>
          <w:p>
            <w:pPr>
              <w:pStyle w:val="Compact"/>
              <w:jc w:val="left"/>
            </w:pPr>
            <w:r>
              <w:t xml:space="preserve">Berlin Economic Advisory Group GmbH, Friedrichstraße 182, 10117 Berlin, Germany</w:t>
            </w:r>
          </w:p>
        </w:tc>
      </w:tr>
      <w:tr>
        <w:tc>
          <w:tcPr/>
          <w:p>
            <w:pPr>
              <w:pStyle w:val="Compact"/>
              <w:jc w:val="left"/>
            </w:pPr>
            <w:r>
              <w:t xml:space="preserve">Client</w:t>
            </w:r>
          </w:p>
        </w:tc>
        <w:tc>
          <w:tcPr/>
          <w:p>
            <w:pPr>
              <w:pStyle w:val="Compact"/>
              <w:jc w:val="left"/>
            </w:pPr>
            <w:r>
              <w:t xml:space="preserve">Deutsche Industrieverband AG, Potsdamer Platz 5, 10785 Berlin, Germany</w:t>
            </w:r>
          </w:p>
        </w:tc>
      </w:tr>
      <w:tr>
        <w:tc>
          <w:tcPr/>
          <w:p>
            <w:pPr>
              <w:pStyle w:val="Compact"/>
              <w:jc w:val="left"/>
            </w:pPr>
            <w:r>
              <w:t xml:space="preserve">Contact Person</w:t>
            </w:r>
          </w:p>
        </w:tc>
        <w:tc>
          <w:tcPr/>
          <w:p>
            <w:pPr>
              <w:pStyle w:val="Compact"/>
              <w:jc w:val="left"/>
            </w:pPr>
            <w:r>
              <w:t xml:space="preserve">Ms. Anja Richter, Head of Strategic Planning</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Berlin Economic Advisory Group GmbH in response to the formal request submitted by Deutsche Industrieverband AG for the engagement of a qualified Economist to deliver comprehensive economic analysis, macroeconomic forecasting, and policy advisory services within the jurisdiction of Germany Berlin. The scope of work outlined in this Quotation Estimate covers a twelve-month engagement period commencing on 1 September 2025 and concluding on 31 August 2026, with the primary operational base located in the central business district of Germany Berlin.</w:t>
      </w:r>
    </w:p>
    <w:p>
      <w:pPr>
        <w:pStyle w:val="BodyText"/>
      </w:pPr>
      <w:r>
        <w:t xml:space="preserve">The Economist engaged under this Quotation Estimate shall provide the client with expert-level economic intelligence, including but not limited to: quarterly macroeconomic outlooks for the German and European economies, sector-specific demand and supply modelling for the manufacturing and energy industries, regulatory impact assessments related to the European Green Deal as it pertains to operations in Germany Berlin, and strategic scenario planning for potential shifts in monetary policy by the European Central Bank. All deliverables shall be produced in accordance with the professional standards established by the German Economic Society (Verein für Socialpolitik) and shall comply with all applicable data protection regulations under the EU General Data Protection Regulation (GDPR) as enforced in Germany Berlin.</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Economist – Full-time engagement (40 hrs/week) including on-site presence in Germany Berlin office</w:t>
            </w:r>
          </w:p>
        </w:tc>
        <w:tc>
          <w:tcPr/>
          <w:p>
            <w:pPr>
              <w:pStyle w:val="Compact"/>
              <w:jc w:val="left"/>
            </w:pPr>
            <w:r>
              <w:t xml:space="preserve">12 months</w:t>
            </w:r>
          </w:p>
        </w:tc>
        <w:tc>
          <w:tcPr/>
          <w:p>
            <w:pPr>
              <w:pStyle w:val="Compact"/>
              <w:jc w:val="left"/>
            </w:pPr>
            <w:r>
              <w:t xml:space="preserve">12,500 / month</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Quarterly Macroeconomic Forecasting Reports (Germany, Eurozone, Global)</w:t>
            </w:r>
          </w:p>
        </w:tc>
        <w:tc>
          <w:tcPr/>
          <w:p>
            <w:pPr>
              <w:pStyle w:val="Compact"/>
              <w:jc w:val="left"/>
            </w:pPr>
            <w:r>
              <w:t xml:space="preserve">4 reports / year</w:t>
            </w:r>
          </w:p>
        </w:tc>
        <w:tc>
          <w:tcPr/>
          <w:p>
            <w:pPr>
              <w:pStyle w:val="Compact"/>
              <w:jc w:val="left"/>
            </w:pPr>
            <w:r>
              <w:t xml:space="preserve">8,500 / report</w:t>
            </w:r>
          </w:p>
        </w:tc>
        <w:tc>
          <w:tcPr/>
          <w:p>
            <w:pPr>
              <w:pStyle w:val="Compact"/>
              <w:jc w:val="left"/>
            </w:pPr>
            <w:r>
              <w:t xml:space="preserve">34,000.00</w:t>
            </w:r>
          </w:p>
        </w:tc>
      </w:tr>
      <w:tr>
        <w:tc>
          <w:tcPr/>
          <w:p>
            <w:pPr>
              <w:pStyle w:val="Compact"/>
              <w:jc w:val="left"/>
            </w:pPr>
            <w:r>
              <w:t xml:space="preserve">03</w:t>
            </w:r>
          </w:p>
        </w:tc>
        <w:tc>
          <w:tcPr/>
          <w:p>
            <w:pPr>
              <w:pStyle w:val="Compact"/>
              <w:jc w:val="left"/>
            </w:pPr>
            <w:r>
              <w:t xml:space="preserve">Regulatory &amp; Policy Impact Analysis (EU &amp; German national legislation affecting Germany Berlin operations)</w:t>
            </w:r>
          </w:p>
        </w:tc>
        <w:tc>
          <w:tcPr/>
          <w:p>
            <w:pPr>
              <w:pStyle w:val="Compact"/>
              <w:jc w:val="left"/>
            </w:pPr>
            <w:r>
              <w:t xml:space="preserve">6 analyses / year</w:t>
            </w:r>
          </w:p>
        </w:tc>
        <w:tc>
          <w:tcPr/>
          <w:p>
            <w:pPr>
              <w:pStyle w:val="Compact"/>
              <w:jc w:val="left"/>
            </w:pPr>
            <w:r>
              <w:t xml:space="preserve">6,200 / analysis</w:t>
            </w:r>
          </w:p>
        </w:tc>
        <w:tc>
          <w:tcPr/>
          <w:p>
            <w:pPr>
              <w:pStyle w:val="Compact"/>
              <w:jc w:val="left"/>
            </w:pPr>
            <w:r>
              <w:t xml:space="preserve">37,200.00</w:t>
            </w:r>
          </w:p>
        </w:tc>
      </w:tr>
      <w:tr>
        <w:tc>
          <w:tcPr/>
          <w:p>
            <w:pPr>
              <w:pStyle w:val="Compact"/>
              <w:jc w:val="left"/>
            </w:pPr>
            <w:r>
              <w:t xml:space="preserve">04</w:t>
            </w:r>
          </w:p>
        </w:tc>
        <w:tc>
          <w:tcPr/>
          <w:p>
            <w:pPr>
              <w:pStyle w:val="Compact"/>
              <w:jc w:val="left"/>
            </w:pPr>
            <w:r>
              <w:t xml:space="preserve">Strategic Scenario Planning &amp; Risk Modelling Workshops</w:t>
            </w:r>
          </w:p>
        </w:tc>
        <w:tc>
          <w:tcPr/>
          <w:p>
            <w:pPr>
              <w:pStyle w:val="Compact"/>
              <w:jc w:val="left"/>
            </w:pPr>
            <w:r>
              <w:t xml:space="preserve">8 sessions / year</w:t>
            </w:r>
          </w:p>
        </w:tc>
        <w:tc>
          <w:tcPr/>
          <w:p>
            <w:pPr>
              <w:pStyle w:val="Compact"/>
              <w:jc w:val="left"/>
            </w:pPr>
            <w:r>
              <w:t xml:space="preserve">4,800 / session</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Ad-hoc Economic Advisory &amp; Board-Level Briefings</w:t>
            </w:r>
          </w:p>
        </w:tc>
        <w:tc>
          <w:tcPr/>
          <w:p>
            <w:pPr>
              <w:pStyle w:val="Compact"/>
              <w:jc w:val="left"/>
            </w:pPr>
            <w:r>
              <w:t xml:space="preserve">Up to 120 hours / year</w:t>
            </w:r>
          </w:p>
        </w:tc>
        <w:tc>
          <w:tcPr/>
          <w:p>
            <w:pPr>
              <w:pStyle w:val="Compact"/>
              <w:jc w:val="left"/>
            </w:pPr>
            <w:r>
              <w:t xml:space="preserve">320 / hour</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Travel, Accommodation &amp; Local Logistics within Germany Berlin and surrounding federal states</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Software Licences, Data Subscriptions (Bloomberg, Eurostat, Destatis) &amp; Research Materials</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14,800.00</w:t>
            </w:r>
          </w:p>
        </w:tc>
      </w:tr>
      <w:tr>
        <w:tc>
          <w:tcPr>
            <w:gridSpan w:val="4"/>
          </w:tcPr>
          <w:p>
            <w:pPr>
              <w:pStyle w:val="Compact"/>
              <w:jc w:val="left"/>
            </w:pPr>
            <w:r>
              <w:t xml:space="preserve">Subtotal (excl. VAT)</w:t>
            </w:r>
          </w:p>
        </w:tc>
        <w:tc>
          <w:tcPr/>
          <w:p>
            <w:pPr>
              <w:pStyle w:val="Compact"/>
              <w:jc w:val="left"/>
            </w:pPr>
            <w:r>
              <w:t xml:space="preserve">322,400.00</w:t>
            </w:r>
          </w:p>
        </w:tc>
      </w:tr>
      <w:tr>
        <w:tc>
          <w:tcPr>
            <w:gridSpan w:val="4"/>
          </w:tcPr>
          <w:p>
            <w:pPr>
              <w:pStyle w:val="Compact"/>
              <w:jc w:val="left"/>
            </w:pPr>
            <w:r>
              <w:t xml:space="preserve">VAT (19% – German Standard Rate)</w:t>
            </w:r>
          </w:p>
        </w:tc>
        <w:tc>
          <w:tcPr/>
          <w:p>
            <w:pPr>
              <w:pStyle w:val="Compact"/>
              <w:jc w:val="left"/>
            </w:pPr>
            <w:r>
              <w:t xml:space="preserve">61,256.00</w:t>
            </w:r>
          </w:p>
        </w:tc>
      </w:tr>
      <w:tr>
        <w:tc>
          <w:tcPr>
            <w:gridSpan w:val="4"/>
          </w:tcPr>
          <w:p>
            <w:pPr>
              <w:pStyle w:val="Compact"/>
              <w:jc w:val="left"/>
            </w:pPr>
            <w:r>
              <w:t xml:space="preserve">TOTAL AMOUNT DUE (incl. VAT)</w:t>
            </w:r>
          </w:p>
        </w:tc>
        <w:tc>
          <w:tcPr/>
          <w:p>
            <w:pPr>
              <w:pStyle w:val="Compact"/>
              <w:jc w:val="left"/>
            </w:pPr>
            <w:r>
              <w:t xml:space="preserve">383,656.00</w:t>
            </w:r>
          </w:p>
        </w:tc>
      </w:tr>
    </w:tbl>
    <w:bookmarkEnd w:id="22"/>
    <w:bookmarkStart w:id="23" w:name="payment-terms-and-schedule"/>
    <w:p>
      <w:pPr>
        <w:pStyle w:val="Heading2"/>
      </w:pPr>
      <w:r>
        <w:t xml:space="preserve">3. Payment Terms and Schedule</w:t>
      </w:r>
    </w:p>
    <w:p>
      <w:pPr>
        <w:pStyle w:val="FirstParagraph"/>
      </w:pPr>
      <w:r>
        <w:t xml:space="preserve">Payment for the services described in this Quotation Estimate shall be made in quarterly instalments, with the first payment due within thirty (30) calendar days of the commencement date. Each quarterly invoice shall be issued on the 1st of January, April, July, and October respectively. All payments shall be remitted via SEPA bank transfer to the account of Berlin Economic Advisory Group GmbH held at Deutsche Bank AG, Berlin branch. Late payments shall incur interest at the statutory rate of 8 percentage points above the European Central Bank base rate, in accordance with Section 288 of the German Civil Code (Bürgerliches Gesetzbuch – BGB).</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ninety (90) days from the date of issue. Beyond this period, all rates and terms are subject to revision without prior notice.</w:t>
      </w:r>
    </w:p>
    <w:p>
      <w:pPr>
        <w:numPr>
          <w:ilvl w:val="0"/>
          <w:numId w:val="1001"/>
        </w:numPr>
        <w:pStyle w:val="Compact"/>
      </w:pPr>
      <w:r>
        <w:t xml:space="preserve">The Economist engaged under this Quotation Estimate shall maintain full professional independence and shall not be bound by any conflict of interest with other clients operating in Germany Berlin.</w:t>
      </w:r>
    </w:p>
    <w:p>
      <w:pPr>
        <w:numPr>
          <w:ilvl w:val="0"/>
          <w:numId w:val="1001"/>
        </w:numPr>
        <w:pStyle w:val="Compact"/>
      </w:pPr>
      <w:r>
        <w:t xml:space="preserve">All intellectual property, reports, models, and analytical outputs produced under this engagement shall become the sole property of the client upon full payment of the corresponding invoice.</w:t>
      </w:r>
    </w:p>
    <w:p>
      <w:pPr>
        <w:numPr>
          <w:ilvl w:val="0"/>
          <w:numId w:val="1001"/>
        </w:numPr>
        <w:pStyle w:val="Compact"/>
      </w:pPr>
      <w:r>
        <w:t xml:space="preserve">Confidentiality obligations shall survive the termination of this engagement for a period of five (5) years, in compliance with German commercial confidentiality law (Handelsgeheimnisgesetz).</w:t>
      </w:r>
    </w:p>
    <w:p>
      <w:pPr>
        <w:numPr>
          <w:ilvl w:val="0"/>
          <w:numId w:val="1001"/>
        </w:numPr>
        <w:pStyle w:val="Compact"/>
      </w:pPr>
      <w:r>
        <w:t xml:space="preserve">Either party may terminate this engagement with a written notice period of sixty (60) days. In the event of early termination, all fees for services rendered up to the termination date shall remain payable.</w:t>
      </w:r>
    </w:p>
    <w:p>
      <w:pPr>
        <w:numPr>
          <w:ilvl w:val="0"/>
          <w:numId w:val="1001"/>
        </w:numPr>
        <w:pStyle w:val="Compact"/>
      </w:pPr>
      <w:r>
        <w:t xml:space="preserve">This Quotation Estimate is governed by the laws of the Federal Republic of Germany. Any disputes arising from or in connection with this engagement shall be subject to the exclusive jurisdiction of the competent courts in Germany Berlin.</w:t>
      </w:r>
    </w:p>
    <w:p>
      <w:pPr>
        <w:numPr>
          <w:ilvl w:val="0"/>
          <w:numId w:val="1001"/>
        </w:numPr>
        <w:pStyle w:val="Compact"/>
      </w:pPr>
      <w:r>
        <w:t xml:space="preserve">Force majeure events, including but not limited to natural disasters, pandemics, or government-mandated closures affecting operations in Germany Berlin, shall suspend obligations under this Quotation Estimate for the duration of the event.</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that they have read, understood, and agree to all terms, conditions, and cost figures set forth in this Quotation Estimate for the engagement of the Economist in Germany Berlin. This document constitutes a binding commercial agreement upon countersignature by both parties.</w:t>
      </w:r>
    </w:p>
    <w:p>
      <w:pPr>
        <w:pStyle w:val="BodyText"/>
      </w:pPr>
      <w:r>
        <w:rPr>
          <w:bCs/>
          <w:b/>
        </w:rPr>
        <w:t xml:space="preserve">For Berlin Economic Advisory Group GmbH</w:t>
      </w:r>
    </w:p>
    <w:p>
      <w:pPr>
        <w:pStyle w:val="BodyText"/>
      </w:pPr>
      <w:r>
        <w:t xml:space="preserve">Dr. Markus Hoffmann, Managing Director</w:t>
      </w:r>
    </w:p>
    <w:p>
      <w:pPr>
        <w:pStyle w:val="BodyText"/>
      </w:pPr>
      <w:r>
        <w:t xml:space="preserve">Name / Signature / Date</w:t>
      </w:r>
    </w:p>
    <w:p>
      <w:pPr>
        <w:pStyle w:val="BodyText"/>
      </w:pPr>
      <w:r>
        <w:rPr>
          <w:bCs/>
          <w:b/>
        </w:rPr>
        <w:t xml:space="preserve">For Deutsche Industrieverband AG</w:t>
      </w:r>
    </w:p>
    <w:p>
      <w:pPr>
        <w:pStyle w:val="BodyText"/>
      </w:pPr>
      <w:r>
        <w:t xml:space="preserve">Ms. Anja Richter, Head of Strategic Planning</w:t>
      </w:r>
    </w:p>
    <w:p>
      <w:pPr>
        <w:pStyle w:val="BodyText"/>
      </w:pPr>
      <w:r>
        <w:t xml:space="preserve">Name / Signature / Date</w:t>
      </w:r>
    </w:p>
    <w:p>
      <w:pPr>
        <w:pStyle w:val="BodyText"/>
      </w:pPr>
      <w:r>
        <w:t xml:space="preserve">Quotation Estimate No. QE-2025-BER-0472 | Berlin Economic Advisory Group GmbH | Friedrichstraße 182, 10117 Berlin, Germany</w:t>
      </w:r>
    </w:p>
    <w:p>
      <w:pPr>
        <w:pStyle w:val="BodyText"/>
      </w:pPr>
      <w:r>
        <w:t xml:space="preserve">USt-IdNr: DE 312 456 789 | HRB 184 523 B, Amtsgericht Berlin-Charlottenburg</w:t>
      </w:r>
    </w:p>
    <w:p>
      <w:pPr>
        <w:pStyle w:val="BodyText"/>
      </w:pPr>
      <w:r>
        <w:t xml:space="preserve">This Quotation Estimate is a confidential commercial document intended solely for the named client in Germany Berlin.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Germany Berlin</dc:title>
  <dc:creator/>
  <dc:language>en</dc:language>
  <cp:keywords/>
  <dcterms:created xsi:type="dcterms:W3CDTF">2026-10-10T08:34:28Z</dcterms:created>
  <dcterms:modified xsi:type="dcterms:W3CDTF">2026-10-10T08:34:28Z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