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Economist Engagement — 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QE-2025-FRA-0472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For</w:t>
            </w:r>
          </w:p>
        </w:tc>
        <w:tc>
          <w:tcPr/>
          <w:p>
            <w:pPr>
              <w:pStyle w:val="Compact"/>
              <w:jc w:val="left"/>
            </w:pPr>
            <w:r>
              <w:t xml:space="preserve">Frankfurt Economic Development Agency, Mainzer Landstrasse 42, 60329 Frankfurt am Main, Germany</w:t>
            </w:r>
          </w:p>
        </w:tc>
      </w:tr>
      <w:tr>
        <w:tc>
          <w:tcPr/>
          <w:p>
            <w:pPr>
              <w:pStyle w:val="Compact"/>
              <w:jc w:val="left"/>
            </w:pPr>
            <w:r>
              <w:t xml:space="preserve">Prepared By</w:t>
            </w:r>
          </w:p>
        </w:tc>
        <w:tc>
          <w:tcPr/>
          <w:p>
            <w:pPr>
              <w:pStyle w:val="Compact"/>
              <w:jc w:val="left"/>
            </w:pPr>
            <w:r>
              <w:t xml:space="preserve">Dr. Helena Voss, Senior Economist — Voss &amp; Partner Economic Consulting, Taunusanlage 18, 60325 Frankfurt am Main, Germany</w:t>
            </w:r>
          </w:p>
        </w:tc>
      </w:tr>
      <w:tr>
        <w:tc>
          <w:tcPr/>
          <w:p>
            <w:pPr>
              <w:pStyle w:val="Compact"/>
              <w:jc w:val="left"/>
            </w:pPr>
            <w:r>
              <w:t xml:space="preserve">Project Location</w:t>
            </w:r>
          </w:p>
        </w:tc>
        <w:tc>
          <w:tcPr/>
          <w:p>
            <w:pPr>
              <w:pStyle w:val="Compact"/>
              <w:jc w:val="left"/>
            </w:pPr>
            <w:r>
              <w:t xml:space="preserve">Germany Frankfurt (Frankfurt am Main, Hesse)</w:t>
            </w:r>
          </w:p>
        </w:tc>
      </w:tr>
      <w:tr>
        <w:tc>
          <w:tcPr/>
          <w:p>
            <w:pPr>
              <w:pStyle w:val="Compact"/>
              <w:jc w:val="left"/>
            </w:pPr>
            <w:r>
              <w:t xml:space="preserve">Currency</w:t>
            </w:r>
          </w:p>
        </w:tc>
        <w:tc>
          <w:tcPr/>
          <w:p>
            <w:pPr>
              <w:pStyle w:val="Compact"/>
              <w:jc w:val="left"/>
            </w:pPr>
            <w:r>
              <w:t xml:space="preserve">Euro (EUR)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Voss &amp; Partner Economic Consulting to provide a comprehensive and transparent cost breakdown for the engagement of a qualified</w:t>
      </w:r>
      <w:r>
        <w:t xml:space="preserve"> </w:t>
      </w:r>
      <w:r>
        <w:t xml:space="preserve">Economist</w:t>
      </w:r>
      <w:r>
        <w:t xml:space="preserve"> </w:t>
      </w:r>
      <w:r>
        <w:t xml:space="preserve">to deliver specialized advisory and analytical services within the city of</w:t>
      </w:r>
      <w:r>
        <w:t xml:space="preserve"> </w:t>
      </w:r>
      <w:r>
        <w:t xml:space="preserve">Germany Frankfurt</w:t>
      </w:r>
      <w:r>
        <w:t xml:space="preserve">. Frankfurt am Main, as the financial capital of Germany and a major hub for the European Central Bank, the Deutsche Bundesbank, and numerous international corporations, presents a unique and demanding environment in which the expertise of a seasoned</w:t>
      </w:r>
      <w:r>
        <w:t xml:space="preserve"> </w:t>
      </w:r>
      <w:r>
        <w:t xml:space="preserve">Economist</w:t>
      </w:r>
      <w:r>
        <w:t xml:space="preserve"> </w:t>
      </w:r>
      <w:r>
        <w:t xml:space="preserve">is indispensable for strategic economic planning, regulatory compliance analysis, and long-term fiscal forecasting.</w:t>
      </w:r>
    </w:p>
    <w:p>
      <w:pPr>
        <w:pStyle w:val="BodyText"/>
      </w:pPr>
      <w:r>
        <w:t xml:space="preserve">The purpose of this</w:t>
      </w:r>
      <w:r>
        <w:t xml:space="preserve"> </w:t>
      </w:r>
      <w:r>
        <w:t xml:space="preserve">Quotation Estimate</w:t>
      </w:r>
      <w:r>
        <w:t xml:space="preserve"> </w:t>
      </w:r>
      <w:r>
        <w:t xml:space="preserve">is to outline the scope of services, the professional qualifications of the</w:t>
      </w:r>
      <w:r>
        <w:t xml:space="preserve"> </w:t>
      </w:r>
      <w:r>
        <w:t xml:space="preserve">Economist</w:t>
      </w:r>
      <w:r>
        <w:t xml:space="preserve"> </w:t>
      </w:r>
      <w:r>
        <w:t xml:space="preserve">to be deployed, the estimated duration of the engagement, and the associated fees for all deliverables to be produced in and for</w:t>
      </w:r>
      <w:r>
        <w:t xml:space="preserve"> </w:t>
      </w:r>
      <w:r>
        <w:t xml:space="preserve">Germany Frankfurt</w:t>
      </w:r>
      <w:r>
        <w:t xml:space="preserve">. All figures presented herein are estimates based on current market rates in the Frankfurt metropolitan area and are subject to the terms and conditions detailed in Section 7 of this document.</w:t>
      </w:r>
    </w:p>
    <w:bookmarkEnd w:id="21"/>
    <w:bookmarkStart w:id="22" w:name="X343153b196633961957a9cb1c5fcd75a41fb307"/>
    <w:p>
      <w:pPr>
        <w:pStyle w:val="Heading2"/>
      </w:pPr>
      <w:r>
        <w:t xml:space="preserve">2. Scope of Services — Economist Engagement in Germany Frankfurt</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provide the following services specifically tailored to the economic landscape of</w:t>
      </w:r>
      <w:r>
        <w:t xml:space="preserve"> </w:t>
      </w:r>
      <w:r>
        <w:t xml:space="preserve">Germany Frankfurt</w:t>
      </w:r>
      <w:r>
        <w:t xml:space="preserve">:</w:t>
      </w:r>
    </w:p>
    <w:p>
      <w:pPr>
        <w:numPr>
          <w:ilvl w:val="0"/>
          <w:numId w:val="1001"/>
        </w:numPr>
        <w:pStyle w:val="Compact"/>
      </w:pPr>
      <w:r>
        <w:rPr>
          <w:bCs/>
          <w:b/>
        </w:rPr>
        <w:t xml:space="preserve">Macroeconomic Analysis for the Frankfurt Region:</w:t>
      </w:r>
      <w:r>
        <w:t xml:space="preserve"> </w:t>
      </w:r>
      <w:r>
        <w:t xml:space="preserve">The</w:t>
      </w:r>
    </w:p>
    <w:p>
      <w:pPr>
        <w:numPr>
          <w:ilvl w:val="0"/>
          <w:numId w:val="1000"/>
        </w:numPr>
        <w:pStyle w:val="Compact"/>
      </w:pPr>
      <w:r>
        <w:t xml:space="preserve">Economist shall conduct a thorough analysis of the regional GDP trajectory, employment indicators, inflationary pressures, and trade balances specific to the Frankfurt am Main metropolitan area and the broader Hesse state. This analysis will incorporate data from the Statistisches Landesamt Hessen, the European Central Bank's Frankfurt headquarters, and the Bundesbank's regional office.</w:t>
      </w:r>
    </w:p>
    <w:p>
      <w:pPr>
        <w:numPr>
          <w:ilvl w:val="0"/>
          <w:numId w:val="1001"/>
        </w:numPr>
        <w:pStyle w:val="Compact"/>
      </w:pPr>
      <w:r>
        <w:rPr>
          <w:bCs/>
          <w:b/>
        </w:rPr>
        <w:t xml:space="preserve">Financial Sector Impact Assessment:</w:t>
      </w:r>
      <w:r>
        <w:t xml:space="preserve"> </w:t>
      </w:r>
      <w:r>
        <w:t xml:space="preserve">Given Frankfurt's status as Europe's premier financial center, the</w:t>
      </w:r>
      <w:r>
        <w:t xml:space="preserve"> </w:t>
      </w:r>
      <w:r>
        <w:t xml:space="preserve">Economist</w:t>
      </w:r>
      <w:r>
        <w:t xml:space="preserve"> </w:t>
      </w:r>
      <w:r>
        <w:t xml:space="preserve">shall evaluate the impact of current monetary policy decisions, regulatory changes (including EU MiFID II and Basel III/IV frameworks), and cross-border capital flows on the local banking and insurance sectors operating in</w:t>
      </w:r>
      <w:r>
        <w:t xml:space="preserve"> </w:t>
      </w:r>
      <w:r>
        <w:t xml:space="preserve">Germany Frankfurt</w:t>
      </w:r>
      <w:r>
        <w:t xml:space="preserve">.</w:t>
      </w:r>
    </w:p>
    <w:p>
      <w:pPr>
        <w:numPr>
          <w:ilvl w:val="0"/>
          <w:numId w:val="1001"/>
        </w:numPr>
        <w:pStyle w:val="Compact"/>
      </w:pPr>
      <w:r>
        <w:rPr>
          <w:bCs/>
          <w:b/>
        </w:rPr>
        <w:t xml:space="preserve">Fiscal Policy Recommendations:</w:t>
      </w:r>
      <w:r>
        <w:t xml:space="preserve"> </w:t>
      </w:r>
      <w:r>
        <w:t xml:space="preserve">The</w:t>
      </w:r>
      <w:r>
        <w:t xml:space="preserve"> </w:t>
      </w:r>
      <w:r>
        <w:t xml:space="preserve">Economist</w:t>
      </w:r>
      <w:r>
        <w:t xml:space="preserve"> </w:t>
      </w:r>
      <w:r>
        <w:t xml:space="preserve">shall prepare a detailed report offering evidence-based recommendations for municipal and state-level fiscal policy in Frankfurt, including tax revenue projections, public expenditure optimization, and infrastructure investment prioritization for the next five fiscal years.</w:t>
      </w:r>
    </w:p>
    <w:p>
      <w:pPr>
        <w:numPr>
          <w:ilvl w:val="0"/>
          <w:numId w:val="1001"/>
        </w:numPr>
        <w:pStyle w:val="Compact"/>
      </w:pPr>
      <w:r>
        <w:rPr>
          <w:bCs/>
          <w:b/>
        </w:rPr>
        <w:t xml:space="preserve">Stress Testing and Risk Modeling:</w:t>
      </w:r>
      <w:r>
        <w:t xml:space="preserve"> </w:t>
      </w:r>
      <w:r>
        <w:t xml:space="preserve">The</w:t>
      </w:r>
      <w:r>
        <w:t xml:space="preserve"> </w:t>
      </w:r>
      <w:r>
        <w:t xml:space="preserve">Economist</w:t>
      </w:r>
      <w:r>
        <w:t xml:space="preserve"> </w:t>
      </w:r>
      <w:r>
        <w:t xml:space="preserve">shall develop and execute macroeconomic stress tests relevant to the Frankfurt financial ecosystem, modeling scenarios such as sovereign debt crises, energy supply disruptions, and geopolitical shocks to assess the resilience of the local economy in</w:t>
      </w:r>
      <w:r>
        <w:t xml:space="preserve"> </w:t>
      </w:r>
      <w:r>
        <w:t xml:space="preserve">Germany Frankfurt</w:t>
      </w:r>
      <w:r>
        <w:t xml:space="preserve">.</w:t>
      </w:r>
    </w:p>
    <w:p>
      <w:pPr>
        <w:numPr>
          <w:ilvl w:val="0"/>
          <w:numId w:val="1001"/>
        </w:numPr>
        <w:pStyle w:val="Compact"/>
      </w:pPr>
      <w:r>
        <w:rPr>
          <w:bCs/>
          <w:b/>
        </w:rPr>
        <w:t xml:space="preserve">Stakeholder Presentations and Advisory Sessions:</w:t>
      </w:r>
      <w:r>
        <w:t xml:space="preserve"> </w:t>
      </w:r>
      <w:r>
        <w:t xml:space="preserve">The</w:t>
      </w:r>
      <w:r>
        <w:t xml:space="preserve"> </w:t>
      </w:r>
      <w:r>
        <w:t xml:space="preserve">Economist</w:t>
      </w:r>
      <w:r>
        <w:t xml:space="preserve"> </w:t>
      </w:r>
      <w:r>
        <w:t xml:space="preserve">shall conduct no fewer than six (6) in-person advisory sessions at the client's offices in Frankfurt am Main, presenting findings, answering queries, and providing real-time strategic guidance to decision-makers.</w:t>
      </w:r>
    </w:p>
    <w:bookmarkEnd w:id="22"/>
    <w:bookmarkStart w:id="23" w:name="qualifications-of-the-economist"/>
    <w:p>
      <w:pPr>
        <w:pStyle w:val="Heading2"/>
      </w:pPr>
      <w:r>
        <w:t xml:space="preserve">3. Qualifications of the Economist</w:t>
      </w:r>
    </w:p>
    <w:p>
      <w:pPr>
        <w:pStyle w:val="FirstParagraph"/>
      </w:pPr>
      <w:r>
        <w:t xml:space="preserve">The</w:t>
      </w:r>
      <w:r>
        <w:t xml:space="preserve"> </w:t>
      </w:r>
      <w:r>
        <w:t xml:space="preserve">Economist</w:t>
      </w:r>
      <w:r>
        <w:t xml:space="preserve"> </w:t>
      </w:r>
      <w:r>
        <w:t xml:space="preserve">assigned to this engagement in</w:t>
      </w:r>
      <w:r>
        <w:t xml:space="preserve"> </w:t>
      </w:r>
      <w:r>
        <w:t xml:space="preserve">Germany Frankfurt</w:t>
      </w:r>
      <w:r>
        <w:t xml:space="preserve"> </w:t>
      </w:r>
      <w:r>
        <w:t xml:space="preserve">shall hold a minimum of a Doctorate (Ph.D.) in Economics or a closely related field from a recognized German or international university. The</w:t>
      </w:r>
      <w:r>
        <w:t xml:space="preserve"> </w:t>
      </w:r>
      <w:r>
        <w:t xml:space="preserve">Economist</w:t>
      </w:r>
      <w:r>
        <w:t xml:space="preserve"> </w:t>
      </w:r>
      <w:r>
        <w:t xml:space="preserve">shall possess a minimum of fifteen (15) years of professional experience in macroeconomic and financial sector analysis, with at least five (5) years of direct experience working on projects within Germany or the Eurozone. Fluency in both German and English is mandatory, as all deliverables and presentations for</w:t>
      </w:r>
      <w:r>
        <w:t xml:space="preserve"> </w:t>
      </w:r>
      <w:r>
        <w:t xml:space="preserve">Germany Frankfurt</w:t>
      </w:r>
      <w:r>
        <w:t xml:space="preserve"> </w:t>
      </w:r>
      <w:r>
        <w:t xml:space="preserve">stakeholders shall be produced in both languages. The</w:t>
      </w:r>
      <w:r>
        <w:t xml:space="preserve"> </w:t>
      </w:r>
      <w:r>
        <w:t xml:space="preserve">Economist</w:t>
      </w:r>
      <w:r>
        <w:t xml:space="preserve"> </w:t>
      </w:r>
      <w:r>
        <w:t xml:space="preserve">shall also hold a valid professional registration with the relevant German economic advisory bodies and shall maintain professional liability insurance in accordance with German commercial law (Handelsgesetzbuch).</w:t>
      </w:r>
    </w:p>
    <w:bookmarkEnd w:id="23"/>
    <w:bookmarkStart w:id="24" w:name="X619b5fd3ff6b75c1137130ef1d0e71fa0d07aaf"/>
    <w:p>
      <w:pPr>
        <w:pStyle w:val="Heading2"/>
      </w:pPr>
      <w:r>
        <w:t xml:space="preserve">4. Quotation Estimate —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Macroeconomic Analysis — Frankfurt Region (report, 80+ pages, bilingual)</w:t>
            </w:r>
          </w:p>
        </w:tc>
        <w:tc>
          <w:tcPr/>
          <w:p>
            <w:pPr>
              <w:pStyle w:val="Compact"/>
              <w:jc w:val="left"/>
            </w:pPr>
            <w:r>
              <w:t xml:space="preserve">1 deliverable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Financial Sector Impact Assessment (report, 60+ pages, bilingual)</w:t>
            </w:r>
          </w:p>
        </w:tc>
        <w:tc>
          <w:tcPr/>
          <w:p>
            <w:pPr>
              <w:pStyle w:val="Compact"/>
              <w:jc w:val="left"/>
            </w:pPr>
            <w:r>
              <w:t xml:space="preserve">1 deliverable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Fiscal Policy Recommendations &amp; 5-Year Projections</w:t>
            </w:r>
          </w:p>
        </w:tc>
        <w:tc>
          <w:tcPr/>
          <w:p>
            <w:pPr>
              <w:pStyle w:val="Compact"/>
              <w:jc w:val="left"/>
            </w:pPr>
            <w:r>
              <w:t xml:space="preserve">1 deliverable</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Stress Testing &amp; Risk Modeling (methodology + results report)</w:t>
            </w:r>
          </w:p>
        </w:tc>
        <w:tc>
          <w:tcPr/>
          <w:p>
            <w:pPr>
              <w:pStyle w:val="Compact"/>
              <w:jc w:val="left"/>
            </w:pPr>
            <w:r>
              <w:t xml:space="preserve">1 deliverable</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05</w:t>
            </w:r>
          </w:p>
        </w:tc>
        <w:tc>
          <w:tcPr/>
          <w:p>
            <w:pPr>
              <w:pStyle w:val="Compact"/>
              <w:jc w:val="left"/>
            </w:pPr>
            <w:r>
              <w:t xml:space="preserve">Advisory Sessions — In-person, Frankfurt am Main</w:t>
            </w:r>
          </w:p>
        </w:tc>
        <w:tc>
          <w:tcPr/>
          <w:p>
            <w:pPr>
              <w:pStyle w:val="Compact"/>
              <w:jc w:val="left"/>
            </w:pPr>
            <w:r>
              <w:t xml:space="preserve">6 sessions × 4 hours</w:t>
            </w:r>
          </w:p>
        </w:tc>
        <w:tc>
          <w:tcPr/>
          <w:p>
            <w:pPr>
              <w:pStyle w:val="Compact"/>
              <w:jc w:val="left"/>
            </w:pPr>
            <w:r>
              <w:t xml:space="preserve">1,200.00 / session</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Accommodation &amp; Local Expenses within Germany Frankfurt</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w:t>
            </w:r>
          </w:p>
        </w:tc>
      </w:tr>
      <w:tr>
        <w:tc>
          <w:tcPr>
            <w:gridSpan w:val="4"/>
          </w:tcPr>
          <w:p>
            <w:pPr>
              <w:pStyle w:val="Compact"/>
              <w:jc w:val="left"/>
            </w:pPr>
            <w:r>
              <w:t xml:space="preserve">Subtotal (excl. VAT)</w:t>
            </w:r>
          </w:p>
        </w:tc>
        <w:tc>
          <w:tcPr/>
          <w:p>
            <w:pPr>
              <w:pStyle w:val="Compact"/>
              <w:jc w:val="left"/>
            </w:pPr>
            <w:r>
              <w:t xml:space="preserve">71,400.00</w:t>
            </w:r>
          </w:p>
        </w:tc>
      </w:tr>
      <w:tr>
        <w:tc>
          <w:tcPr>
            <w:gridSpan w:val="4"/>
          </w:tcPr>
          <w:p>
            <w:pPr>
              <w:pStyle w:val="Compact"/>
              <w:jc w:val="left"/>
            </w:pPr>
            <w:r>
              <w:t xml:space="preserve">VAT (19% — German Standard Rate)</w:t>
            </w:r>
          </w:p>
        </w:tc>
        <w:tc>
          <w:tcPr/>
          <w:p>
            <w:pPr>
              <w:pStyle w:val="Compact"/>
              <w:jc w:val="left"/>
            </w:pPr>
            <w:r>
              <w:t xml:space="preserve">13,566.00</w:t>
            </w:r>
          </w:p>
        </w:tc>
      </w:tr>
      <w:tr>
        <w:tc>
          <w:tcPr>
            <w:gridSpan w:val="4"/>
          </w:tcPr>
          <w:p>
            <w:pPr>
              <w:pStyle w:val="Compact"/>
              <w:jc w:val="left"/>
            </w:pPr>
            <w:r>
              <w:t xml:space="preserve">TOTAL ESTIMATED COST (incl. VAT)</w:t>
            </w:r>
          </w:p>
        </w:tc>
        <w:tc>
          <w:tcPr/>
          <w:p>
            <w:pPr>
              <w:pStyle w:val="Compact"/>
              <w:jc w:val="left"/>
            </w:pPr>
            <w:r>
              <w:t xml:space="preserve">84,966.00</w:t>
            </w:r>
          </w:p>
        </w:tc>
      </w:tr>
    </w:tbl>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thirty percent (30%) upon execution of the contract; forty percent (40%) upon delivery of the Macroeconomic Analysis and Financial Sector Impact Assessment; and the remaining thirty percent (30%) upon final acceptance of all deliverables by the client in</w:t>
      </w:r>
      <w:r>
        <w:t xml:space="preserve"> </w:t>
      </w:r>
      <w:r>
        <w:t xml:space="preserve">Germany Frankfurt</w:t>
      </w:r>
      <w:r>
        <w:t xml:space="preserve">. All invoices shall be issued in Euro (EUR) and are payable within thirty (30) calendar days of the invoice date via bank transfer to the account of Voss &amp; Partner Economic Consulting, Frankfurt am Main. Late payments shall accrue interest at the statutory rate under Section 288 of the German Civil Code (Bürgliches Gesetzbuch).</w:t>
      </w:r>
    </w:p>
    <w:bookmarkEnd w:id="25"/>
    <w:bookmarkStart w:id="26" w:name="project-timeline"/>
    <w:p>
      <w:pPr>
        <w:pStyle w:val="Heading2"/>
      </w:pPr>
      <w:r>
        <w:t xml:space="preserve">6. Project Timeline</w:t>
      </w:r>
    </w:p>
    <w:p>
      <w:pPr>
        <w:pStyle w:val="FirstParagraph"/>
      </w:pPr>
      <w:r>
        <w:t xml:space="preserve">The</w:t>
      </w:r>
      <w:r>
        <w:t xml:space="preserve"> </w:t>
      </w:r>
      <w:r>
        <w:t xml:space="preserve">Economist</w:t>
      </w:r>
      <w:r>
        <w:t xml:space="preserve"> </w:t>
      </w:r>
      <w:r>
        <w:t xml:space="preserve">engagement in</w:t>
      </w:r>
      <w:r>
        <w:t xml:space="preserve"> </w:t>
      </w:r>
      <w:r>
        <w:t xml:space="preserve">Germany Frankfurt</w:t>
      </w:r>
      <w:r>
        <w:t xml:space="preserve"> </w:t>
      </w:r>
      <w:r>
        <w:t xml:space="preserve">is estimated to span a period of twelve (12) months from the date of contract execution. The initial data collection and analysis phase is expected to be completed within the first four months. Interim reports shall be submitted at the six-month mark, and the final comprehensive report, incorporating all stress test results and fiscal recommendations, shall be delivered no later than the eleventh month. The twelfth month is reserved for final revisions, stakeholder presentations, and the closing advisory session in Frankfurt am Main.</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terms are subject to revision.</w:t>
      </w:r>
    </w:p>
    <w:p>
      <w:pPr>
        <w:numPr>
          <w:ilvl w:val="0"/>
          <w:numId w:val="1002"/>
        </w:numPr>
        <w:pStyle w:val="Compact"/>
      </w:pPr>
      <w:r>
        <w:t xml:space="preserve">All intellectual property rights in the reports, models, and analyses produced by the</w:t>
      </w:r>
      <w:r>
        <w:t xml:space="preserve"> </w:t>
      </w:r>
      <w:r>
        <w:t xml:space="preserve">Economist</w:t>
      </w:r>
      <w:r>
        <w:t xml:space="preserve"> </w:t>
      </w:r>
      <w:r>
        <w:t xml:space="preserve">shall transfer to the client upon full payment, subject to the</w:t>
      </w:r>
      <w:r>
        <w:t xml:space="preserve"> </w:t>
      </w:r>
      <w:r>
        <w:t xml:space="preserve">Economist</w:t>
      </w:r>
      <w:r>
        <w:t xml:space="preserve">'s right to reference the work in academic publications with prior written consent.</w:t>
      </w:r>
    </w:p>
    <w:p>
      <w:pPr>
        <w:numPr>
          <w:ilvl w:val="0"/>
          <w:numId w:val="1002"/>
        </w:numPr>
        <w:pStyle w:val="Compact"/>
      </w:pPr>
      <w:r>
        <w:t xml:space="preserve">The</w:t>
      </w:r>
      <w:r>
        <w:t xml:space="preserve"> </w:t>
      </w:r>
      <w:r>
        <w:t xml:space="preserve">Economist</w:t>
      </w:r>
      <w:r>
        <w:t xml:space="preserve"> </w:t>
      </w:r>
      <w:r>
        <w:t xml:space="preserve">shall comply with all applicable data protection regulations, including the EU General Data Protection Regulation (GDPR) and the German Federal Data Protection Act (Bundesdatenschutzgesetz), particularly given the sensitive financial data handled in</w:t>
      </w:r>
      <w:r>
        <w:t xml:space="preserve"> </w:t>
      </w:r>
      <w:r>
        <w:t xml:space="preserve">Germany Frankfurt</w:t>
      </w:r>
      <w:r>
        <w:t xml:space="preserve">.</w:t>
      </w:r>
    </w:p>
    <w:p>
      <w:pPr>
        <w:numPr>
          <w:ilvl w:val="0"/>
          <w:numId w:val="1002"/>
        </w:numPr>
        <w:pStyle w:val="Compact"/>
      </w:pPr>
      <w:r>
        <w:t xml:space="preserve">Any changes to the scope of services beyond what is described in this</w:t>
      </w:r>
      <w:r>
        <w:t xml:space="preserve"> </w:t>
      </w:r>
      <w:r>
        <w:t xml:space="preserve">Quotation Estimate</w:t>
      </w:r>
      <w:r>
        <w:t xml:space="preserve"> </w:t>
      </w:r>
      <w:r>
        <w:t xml:space="preserve">shall require a written change order signed by both parties and may result in an adjusted cost estimate.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Voss &amp; Partner Economic Consulting.</w:t>
      </w:r>
    </w:p>
    <w:p>
      <w:pPr>
        <w:numPr>
          <w:ilvl w:val="0"/>
          <w:numId w:val="1002"/>
        </w:numPr>
        <w:pStyle w:val="Compact"/>
      </w:pPr>
      <w:r>
        <w:t xml:space="preserve">Governing law for this engagement shall be the law of the Federal Republic of Germany, and any disputes shall be subject to the exclusive jurisdiction of the competent courts in Frankfurt am Main, Hesse.</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for the engagement of a professional</w:t>
      </w:r>
      <w:r>
        <w:t xml:space="preserve"> </w:t>
      </w:r>
      <w:r>
        <w:t xml:space="preserve">Economist</w:t>
      </w:r>
      <w:r>
        <w:t xml:space="preserve"> </w:t>
      </w:r>
      <w:r>
        <w:t xml:space="preserve">in</w:t>
      </w:r>
      <w:r>
        <w:t xml:space="preserve"> </w:t>
      </w:r>
      <w:r>
        <w:t xml:space="preserve">Germany Frankfurt</w:t>
      </w:r>
      <w:r>
        <w:t xml:space="preserve"> </w:t>
      </w:r>
      <w:r>
        <w:t xml:space="preserve">and agrees to the terms, conditions, and estimated costs set forth herein. This signature constitutes formal acceptance of the</w:t>
      </w:r>
      <w:r>
        <w:t xml:space="preserve"> </w:t>
      </w:r>
      <w:r>
        <w:t xml:space="preserve">Quotation Estimate</w:t>
      </w:r>
      <w:r>
        <w:t xml:space="preserve"> </w:t>
      </w:r>
      <w:r>
        <w:t xml:space="preserve">and authorizes Voss &amp; Partner Economic Consulting to commence the</w:t>
      </w:r>
      <w:r>
        <w:t xml:space="preserve"> </w:t>
      </w:r>
      <w:r>
        <w:t xml:space="preserve">Economist</w:t>
      </w:r>
      <w:r>
        <w:t xml:space="preserve"> </w:t>
      </w:r>
      <w:r>
        <w:t xml:space="preserve">engagement as described.</w:t>
      </w:r>
    </w:p>
    <w:p>
      <w:pPr>
        <w:pStyle w:val="BodyText"/>
      </w:pPr>
      <w:r>
        <w:rPr>
          <w:bCs/>
          <w:b/>
        </w:rPr>
        <w:t xml:space="preserve">For Voss &amp; Partner Economic Consulting</w:t>
      </w:r>
      <w:r>
        <w:br/>
      </w:r>
      <w:r>
        <w:t xml:space="preserve">Dr. Helena Voss, Senior Economist</w:t>
      </w:r>
      <w:r>
        <w:br/>
      </w:r>
      <w:r>
        <w:t xml:space="preserve">Frankfurt am Main, Germany</w:t>
      </w:r>
      <w:r>
        <w:br/>
      </w:r>
      <w:r>
        <w:t xml:space="preserve">Date: ______________________</w:t>
      </w:r>
    </w:p>
    <w:p>
      <w:pPr>
        <w:pStyle w:val="BodyText"/>
      </w:pPr>
      <w:r>
        <w:rPr>
          <w:bCs/>
          <w:b/>
        </w:rPr>
        <w:t xml:space="preserve">For the Client — Frankfurt Economic Development Agency</w:t>
      </w:r>
      <w:r>
        <w:br/>
      </w:r>
      <w:r>
        <w:t xml:space="preserve">Authorized Representative</w:t>
      </w:r>
      <w:r>
        <w:br/>
      </w:r>
      <w:r>
        <w:t xml:space="preserve">Frankfurt am Main, Germany</w:t>
      </w:r>
      <w:r>
        <w:br/>
      </w:r>
      <w:r>
        <w:t xml:space="preserve">Date: ______________________</w:t>
      </w:r>
    </w:p>
    <w:p>
      <w:pPr>
        <w:pStyle w:val="BodyText"/>
      </w:pPr>
      <w:r>
        <w:t xml:space="preserve">This Quotation Estimate (QE-2025-FRA-0472) was prepared exclusively for the client named above in connection with the Economist engagement in Germany Frankfurt. It is not transferable and may not be reproduced without written consent. Voss &amp; Partner Economic Consulting — Taunusanlage 18, 60325 Frankfurt am Main, Germany — USt-IdNr.: DE 312 456 789 — HRB 45210, Amtsgericht Frankfurt am Main.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Germany Frankfurt</dc:title>
  <dc:creator/>
  <dc:language>en</dc:language>
  <cp:keywords/>
  <dcterms:created xsi:type="dcterms:W3CDTF">2026-10-10T07:34:59Z</dcterms:created>
  <dcterms:modified xsi:type="dcterms:W3CDTF">2026-10-10T07:34:59Z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