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Economist</w:t>
      </w:r>
      <w:r>
        <w:t xml:space="preserve"> </w:t>
      </w:r>
      <w:r>
        <w:t xml:space="preserve">Services</w:t>
      </w:r>
      <w:r>
        <w:t xml:space="preserve"> </w:t>
      </w:r>
      <w:r>
        <w:t xml:space="preserve">-</w:t>
      </w:r>
      <w:r>
        <w:t xml:space="preserve"> </w:t>
      </w:r>
      <w:r>
        <w:t xml:space="preserve">Germany</w:t>
      </w:r>
      <w:r>
        <w:t xml:space="preserve"> </w:t>
      </w:r>
      <w:r>
        <w:t xml:space="preserve">Munich</w:t>
      </w:r>
    </w:p>
    <w:bookmarkStart w:id="20" w:name="quotation-estimate"/>
    <w:p>
      <w:pPr>
        <w:pStyle w:val="Heading1"/>
      </w:pPr>
      <w:r>
        <w:t xml:space="preserve">QUOTATION ESTIMATE</w:t>
      </w:r>
    </w:p>
    <w:p>
      <w:pPr>
        <w:pStyle w:val="FirstParagraph"/>
      </w:pPr>
      <w:r>
        <w:t xml:space="preserve">Professional Economist Engagement — Germany Munich</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QE-2025-MUC-04782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September 2025 (90 days)</w:t>
            </w:r>
          </w:p>
        </w:tc>
      </w:tr>
      <w:tr>
        <w:tc>
          <w:tcPr/>
          <w:p>
            <w:pPr>
              <w:pStyle w:val="Compact"/>
              <w:jc w:val="left"/>
            </w:pPr>
            <w:r>
              <w:t xml:space="preserve">Prepared By:</w:t>
            </w:r>
          </w:p>
        </w:tc>
        <w:tc>
          <w:tcPr/>
          <w:p>
            <w:pPr>
              <w:pStyle w:val="Compact"/>
              <w:jc w:val="left"/>
            </w:pPr>
            <w:r>
              <w:t xml:space="preserve">Dr. Katharina Weiss, Senior Consultant — Munich Economic Advisory Group GmbH</w:t>
            </w:r>
          </w:p>
        </w:tc>
      </w:tr>
      <w:tr>
        <w:tc>
          <w:tcPr/>
          <w:p>
            <w:pPr>
              <w:pStyle w:val="Compact"/>
              <w:jc w:val="left"/>
            </w:pPr>
            <w:r>
              <w:t xml:space="preserve">Address:</w:t>
            </w:r>
          </w:p>
        </w:tc>
        <w:tc>
          <w:tcPr/>
          <w:p>
            <w:pPr>
              <w:pStyle w:val="Compact"/>
              <w:jc w:val="left"/>
            </w:pPr>
            <w:r>
              <w:t xml:space="preserve">Maximilianstraße 42, 80539 Munich, Germany</w:t>
            </w:r>
          </w:p>
        </w:tc>
      </w:tr>
      <w:tr>
        <w:tc>
          <w:tcPr/>
          <w:p>
            <w:pPr>
              <w:pStyle w:val="Compact"/>
              <w:jc w:val="left"/>
            </w:pPr>
            <w:r>
              <w:t xml:space="preserve">Prepared For:</w:t>
            </w:r>
          </w:p>
        </w:tc>
        <w:tc>
          <w:tcPr/>
          <w:p>
            <w:pPr>
              <w:pStyle w:val="Compact"/>
              <w:jc w:val="left"/>
            </w:pPr>
            <w:r>
              <w:t xml:space="preserve">Bavarian Industrial Consortium e.V., Leopoldstraße 18, 80802 Munich, Germany</w:t>
            </w:r>
          </w:p>
        </w:tc>
      </w:tr>
      <w:tr>
        <w:tc>
          <w:tcPr/>
          <w:p>
            <w:pPr>
              <w:pStyle w:val="Compact"/>
              <w:jc w:val="left"/>
            </w:pPr>
            <w:r>
              <w:t xml:space="preserve">Project Reference:</w:t>
            </w:r>
          </w:p>
        </w:tc>
        <w:tc>
          <w:tcPr/>
          <w:p>
            <w:pPr>
              <w:pStyle w:val="Compact"/>
              <w:jc w:val="left"/>
            </w:pPr>
            <w:r>
              <w:t xml:space="preserve">Regional Economic Impact Assessment — Munich Metropolitan Area</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Munich Economic Advisory Group GmbH in response to the formal request submitted by the Bavarian Industrial Consortium e.V. for the engagement of a qualified</w:t>
      </w:r>
      <w:r>
        <w:t xml:space="preserve"> </w:t>
      </w:r>
      <w:r>
        <w:t xml:space="preserve">Economist</w:t>
      </w:r>
      <w:r>
        <w:t xml:space="preserve"> </w:t>
      </w:r>
      <w:r>
        <w:t xml:space="preserve">to conduct a comprehensive regional economic impact assessment covering the Munich metropolitan area and its surrounding districts in the state of Bavaria,</w:t>
      </w:r>
      <w:r>
        <w:t xml:space="preserve"> </w:t>
      </w:r>
      <w:r>
        <w:t xml:space="preserve">Germany Munich</w:t>
      </w:r>
      <w:r>
        <w:t xml:space="preserve"> </w:t>
      </w:r>
      <w:r>
        <w:t xml:space="preserve">region. This document outlines the full scope of professional services, associated costs, and contractual conditions governing the proposed engagement. All figures presented herein are denominated in Euros (EUR) and are subject to the applicable German value-added tax (Umsatzsteuer) at the standard rate of 19 percent.</w:t>
      </w:r>
    </w:p>
    <w:bookmarkEnd w:id="21"/>
    <w:bookmarkStart w:id="22" w:name="scope-of-services-economist-engagement"/>
    <w:p>
      <w:pPr>
        <w:pStyle w:val="Heading2"/>
      </w:pPr>
      <w:r>
        <w:t xml:space="preserve">2. Scope of Services — Economist Engagement</w:t>
      </w:r>
    </w:p>
    <w:p>
      <w:pPr>
        <w:pStyle w:val="FirstParagraph"/>
      </w:pPr>
      <w:r>
        <w:t xml:space="preserve">The proposed</w:t>
      </w:r>
      <w:r>
        <w:t xml:space="preserve"> </w:t>
      </w:r>
      <w:r>
        <w:t xml:space="preserve">Economist</w:t>
      </w:r>
      <w:r>
        <w:t xml:space="preserve"> </w:t>
      </w:r>
      <w:r>
        <w:t xml:space="preserve">will be a senior-level professional with a minimum of fifteen years of experience in macroeconomic and regional economic analysis, holding a doctoral degree in Economics from a recognized German or European university. The</w:t>
      </w:r>
      <w:r>
        <w:t xml:space="preserve"> </w:t>
      </w:r>
      <w:r>
        <w:t xml:space="preserve">Economist</w:t>
      </w:r>
      <w:r>
        <w:t xml:space="preserve"> </w:t>
      </w:r>
      <w:r>
        <w:t xml:space="preserve">will be based in</w:t>
      </w:r>
      <w:r>
        <w:t xml:space="preserve"> </w:t>
      </w:r>
      <w:r>
        <w:t xml:space="preserve">Germany Munich</w:t>
      </w:r>
      <w:r>
        <w:t xml:space="preserve"> </w:t>
      </w:r>
      <w:r>
        <w:t xml:space="preserve">and will operate from the consortium’s offices located in the Schwabing district, ensuring direct access to local data sources, municipal planning offices, and the Bavarian State Statistical Office (Bayerisches Landesamt für Statistik).</w:t>
      </w:r>
    </w:p>
    <w:p>
      <w:pPr>
        <w:pStyle w:val="BodyText"/>
      </w:pPr>
      <w:r>
        <w:t xml:space="preserve">The scope of work encompasses the following deliverables:</w:t>
      </w:r>
    </w:p>
    <w:p>
      <w:pPr>
        <w:numPr>
          <w:ilvl w:val="0"/>
          <w:numId w:val="1001"/>
        </w:numPr>
        <w:pStyle w:val="Compact"/>
      </w:pPr>
      <w:r>
        <w:t xml:space="preserve">Conduct a full macroeconomic and microeconomic analysis of the Munich metropolitan labor market, including employment projections for the 2025–2035 period.</w:t>
      </w:r>
    </w:p>
    <w:p>
      <w:pPr>
        <w:numPr>
          <w:ilvl w:val="0"/>
          <w:numId w:val="1001"/>
        </w:numPr>
        <w:pStyle w:val="Compact"/>
      </w:pPr>
      <w:r>
        <w:t xml:space="preserve">Prepare a detailed fiscal impact study evaluating the projected revenue and expenditure implications for the city of Munich and the Land of Bavaria.</w:t>
      </w:r>
    </w:p>
    <w:p>
      <w:pPr>
        <w:numPr>
          <w:ilvl w:val="0"/>
          <w:numId w:val="1001"/>
        </w:numPr>
        <w:pStyle w:val="Compact"/>
      </w:pPr>
      <w:r>
        <w:t xml:space="preserve">Develop a competitive positioning report comparing the economic indicators of</w:t>
      </w:r>
      <w:r>
        <w:t xml:space="preserve"> </w:t>
      </w:r>
      <w:r>
        <w:t xml:space="preserve">Germany Munich</w:t>
      </w:r>
      <w:r>
        <w:t xml:space="preserve"> </w:t>
      </w:r>
      <w:r>
        <w:t xml:space="preserve">against comparable European metropolitan regions (Frankfurt, Amsterdam, Vienna, and Zurich).</w:t>
      </w:r>
    </w:p>
    <w:p>
      <w:pPr>
        <w:numPr>
          <w:ilvl w:val="0"/>
          <w:numId w:val="1001"/>
        </w:numPr>
        <w:pStyle w:val="Compact"/>
      </w:pPr>
      <w:r>
        <w:t xml:space="preserve">Deliver a written policy recommendation memorandum of no fewer than 120 pages, accompanied by a 45-minute oral presentation to the consortium’s board of directors.</w:t>
      </w:r>
    </w:p>
    <w:p>
      <w:pPr>
        <w:numPr>
          <w:ilvl w:val="0"/>
          <w:numId w:val="1001"/>
        </w:numPr>
        <w:pStyle w:val="Compact"/>
      </w:pPr>
      <w:r>
        <w:t xml:space="preserve">Provide ongoing advisory support for a period of six months following the delivery of the final report, including two on-site consultation sessions per month in Munich.</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Senior Economist — Full-time engagement (40 hrs/week), based in Germany Munich</w:t>
            </w:r>
          </w:p>
        </w:tc>
        <w:tc>
          <w:tcPr/>
          <w:p>
            <w:pPr>
              <w:pStyle w:val="Compact"/>
              <w:jc w:val="left"/>
            </w:pPr>
            <w:r>
              <w:t xml:space="preserve">12 months</w:t>
            </w:r>
          </w:p>
        </w:tc>
        <w:tc>
          <w:tcPr/>
          <w:p>
            <w:pPr>
              <w:pStyle w:val="Compact"/>
              <w:jc w:val="left"/>
            </w:pPr>
            <w:r>
              <w:t xml:space="preserve">14,500.00 / month</w:t>
            </w:r>
          </w:p>
        </w:tc>
        <w:tc>
          <w:tcPr/>
          <w:p>
            <w:pPr>
              <w:pStyle w:val="Compact"/>
              <w:jc w:val="left"/>
            </w:pPr>
            <w:r>
              <w:t xml:space="preserve">174,000.00</w:t>
            </w:r>
          </w:p>
        </w:tc>
      </w:tr>
      <w:tr>
        <w:tc>
          <w:tcPr/>
          <w:p>
            <w:pPr>
              <w:pStyle w:val="Compact"/>
              <w:jc w:val="left"/>
            </w:pPr>
            <w:r>
              <w:t xml:space="preserve">02</w:t>
            </w:r>
          </w:p>
        </w:tc>
        <w:tc>
          <w:tcPr/>
          <w:p>
            <w:pPr>
              <w:pStyle w:val="Compact"/>
              <w:jc w:val="left"/>
            </w:pPr>
            <w:r>
              <w:t xml:space="preserve">Macroeconomic &amp; labor market analysis (Munich metropolitan area)</w:t>
            </w:r>
          </w:p>
        </w:tc>
        <w:tc>
          <w:tcPr/>
          <w:p>
            <w:pPr>
              <w:pStyle w:val="Compact"/>
              <w:jc w:val="left"/>
            </w:pPr>
            <w:r>
              <w:t xml:space="preserve">1 deliverable</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03</w:t>
            </w:r>
          </w:p>
        </w:tc>
        <w:tc>
          <w:tcPr/>
          <w:p>
            <w:pPr>
              <w:pStyle w:val="Compact"/>
              <w:jc w:val="left"/>
            </w:pPr>
            <w:r>
              <w:t xml:space="preserve">Fiscal impact study — City of Munich &amp; Bavarian state level</w:t>
            </w:r>
          </w:p>
        </w:tc>
        <w:tc>
          <w:tcPr/>
          <w:p>
            <w:pPr>
              <w:pStyle w:val="Compact"/>
              <w:jc w:val="left"/>
            </w:pPr>
            <w:r>
              <w:t xml:space="preserve">1 deliverable</w:t>
            </w:r>
          </w:p>
        </w:tc>
        <w:tc>
          <w:tcPr/>
          <w:p>
            <w:pPr>
              <w:pStyle w:val="Compact"/>
              <w:jc w:val="left"/>
            </w:pPr>
            <w:r>
              <w:t xml:space="preserve">22,500.00</w:t>
            </w:r>
          </w:p>
        </w:tc>
        <w:tc>
          <w:tcPr/>
          <w:p>
            <w:pPr>
              <w:pStyle w:val="Compact"/>
              <w:jc w:val="left"/>
            </w:pPr>
            <w:r>
              <w:t xml:space="preserve">22,500.00</w:t>
            </w:r>
          </w:p>
        </w:tc>
      </w:tr>
      <w:tr>
        <w:tc>
          <w:tcPr/>
          <w:p>
            <w:pPr>
              <w:pStyle w:val="Compact"/>
              <w:jc w:val="left"/>
            </w:pPr>
            <w:r>
              <w:t xml:space="preserve">04</w:t>
            </w:r>
          </w:p>
        </w:tc>
        <w:tc>
          <w:tcPr/>
          <w:p>
            <w:pPr>
              <w:pStyle w:val="Compact"/>
              <w:jc w:val="left"/>
            </w:pPr>
            <w:r>
              <w:t xml:space="preserve">European competitive positioning report (4-city benchmark)</w:t>
            </w:r>
          </w:p>
        </w:tc>
        <w:tc>
          <w:tcPr/>
          <w:p>
            <w:pPr>
              <w:pStyle w:val="Compact"/>
              <w:jc w:val="left"/>
            </w:pPr>
            <w:r>
              <w:t xml:space="preserve">1 deliverable</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05</w:t>
            </w:r>
          </w:p>
        </w:tc>
        <w:tc>
          <w:tcPr/>
          <w:p>
            <w:pPr>
              <w:pStyle w:val="Compact"/>
              <w:jc w:val="left"/>
            </w:pPr>
            <w:r>
              <w:t xml:space="preserve">Policy recommendation memorandum (120+ pages) &amp; board presentation</w:t>
            </w:r>
          </w:p>
        </w:tc>
        <w:tc>
          <w:tcPr/>
          <w:p>
            <w:pPr>
              <w:pStyle w:val="Compact"/>
              <w:jc w:val="left"/>
            </w:pPr>
            <w:r>
              <w:t xml:space="preserve">1 deliverable</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06</w:t>
            </w:r>
          </w:p>
        </w:tc>
        <w:tc>
          <w:tcPr/>
          <w:p>
            <w:pPr>
              <w:pStyle w:val="Compact"/>
              <w:jc w:val="left"/>
            </w:pPr>
            <w:r>
              <w:t xml:space="preserve">Post-delivery advisory support (6 months, 2 sessions/month in Munich)</w:t>
            </w:r>
          </w:p>
        </w:tc>
        <w:tc>
          <w:tcPr/>
          <w:p>
            <w:pPr>
              <w:pStyle w:val="Compact"/>
              <w:jc w:val="left"/>
            </w:pPr>
            <w:r>
              <w:t xml:space="preserve">12 sessions</w:t>
            </w:r>
          </w:p>
        </w:tc>
        <w:tc>
          <w:tcPr/>
          <w:p>
            <w:pPr>
              <w:pStyle w:val="Compact"/>
              <w:jc w:val="left"/>
            </w:pPr>
            <w:r>
              <w:t xml:space="preserve">1,200.00 / session</w:t>
            </w:r>
          </w:p>
        </w:tc>
        <w:tc>
          <w:tcPr/>
          <w:p>
            <w:pPr>
              <w:pStyle w:val="Compact"/>
              <w:jc w:val="left"/>
            </w:pPr>
            <w:r>
              <w:t xml:space="preserve">14,400.00</w:t>
            </w:r>
          </w:p>
        </w:tc>
      </w:tr>
      <w:tr>
        <w:tc>
          <w:tcPr/>
          <w:p>
            <w:pPr>
              <w:pStyle w:val="Compact"/>
              <w:jc w:val="left"/>
            </w:pPr>
            <w:r>
              <w:t xml:space="preserve">07</w:t>
            </w:r>
          </w:p>
        </w:tc>
        <w:tc>
          <w:tcPr/>
          <w:p>
            <w:pPr>
              <w:pStyle w:val="Compact"/>
              <w:jc w:val="left"/>
            </w:pPr>
            <w:r>
              <w:t xml:space="preserve">Travel, accommodation, and local transport within Germany Munich region</w:t>
            </w:r>
          </w:p>
        </w:tc>
        <w:tc>
          <w:tcPr/>
          <w:p>
            <w:pPr>
              <w:pStyle w:val="Compact"/>
              <w:jc w:val="left"/>
            </w:pPr>
            <w:r>
              <w:t xml:space="preserve">12 months</w:t>
            </w:r>
          </w:p>
        </w:tc>
        <w:tc>
          <w:tcPr/>
          <w:p>
            <w:pPr>
              <w:pStyle w:val="Compact"/>
              <w:jc w:val="left"/>
            </w:pPr>
            <w:r>
              <w:t xml:space="preserve">850.00 / month</w:t>
            </w:r>
          </w:p>
        </w:tc>
        <w:tc>
          <w:tcPr/>
          <w:p>
            <w:pPr>
              <w:pStyle w:val="Compact"/>
              <w:jc w:val="left"/>
            </w:pPr>
            <w:r>
              <w:t xml:space="preserve">10,200.00</w:t>
            </w:r>
          </w:p>
        </w:tc>
      </w:tr>
      <w:tr>
        <w:tc>
          <w:tcPr/>
          <w:p>
            <w:pPr>
              <w:pStyle w:val="Compact"/>
              <w:jc w:val="left"/>
            </w:pPr>
            <w:r>
              <w:t xml:space="preserve">08</w:t>
            </w:r>
          </w:p>
        </w:tc>
        <w:tc>
          <w:tcPr/>
          <w:p>
            <w:pPr>
              <w:pStyle w:val="Compact"/>
              <w:jc w:val="left"/>
            </w:pPr>
            <w:r>
              <w:t xml:space="preserve">Access to proprietary economic databases (BLS, Eurostat, Destatis, Ifo Institute)</w:t>
            </w:r>
          </w:p>
        </w:tc>
        <w:tc>
          <w:tcPr/>
          <w:p>
            <w:pPr>
              <w:pStyle w:val="Compact"/>
              <w:jc w:val="left"/>
            </w:pPr>
            <w:r>
              <w:t xml:space="preserve">12 months</w:t>
            </w:r>
          </w:p>
        </w:tc>
        <w:tc>
          <w:tcPr/>
          <w:p>
            <w:pPr>
              <w:pStyle w:val="Compact"/>
              <w:jc w:val="left"/>
            </w:pPr>
            <w:r>
              <w:t xml:space="preserve">3,200.00 / month</w:t>
            </w:r>
          </w:p>
        </w:tc>
        <w:tc>
          <w:tcPr/>
          <w:p>
            <w:pPr>
              <w:pStyle w:val="Compact"/>
              <w:jc w:val="left"/>
            </w:pPr>
            <w:r>
              <w:t xml:space="preserve">38,400.00</w:t>
            </w:r>
          </w:p>
        </w:tc>
      </w:tr>
      <w:tr>
        <w:tc>
          <w:tcPr/>
          <w:p>
            <w:pPr>
              <w:pStyle w:val="Compact"/>
              <w:jc w:val="left"/>
            </w:pPr>
            <w:r>
              <w:t xml:space="preserve">09</w:t>
            </w:r>
          </w:p>
        </w:tc>
        <w:tc>
          <w:tcPr/>
          <w:p>
            <w:pPr>
              <w:pStyle w:val="Compact"/>
              <w:jc w:val="left"/>
            </w:pPr>
            <w:r>
              <w:t xml:space="preserve">Project management &amp; administrative overhead (10% of items 01–08)</w:t>
            </w:r>
          </w:p>
        </w:tc>
        <w:tc>
          <w:tcPr/>
          <w:p>
            <w:pPr>
              <w:pStyle w:val="Compact"/>
              <w:jc w:val="left"/>
            </w:pPr>
            <w:r>
              <w:t xml:space="preserve">12 months</w:t>
            </w:r>
          </w:p>
        </w:tc>
        <w:tc>
          <w:tcPr/>
          <w:p>
            <w:pPr>
              <w:pStyle w:val="Compact"/>
              <w:jc w:val="left"/>
            </w:pPr>
            <w:r>
              <w:t xml:space="preserve">Calculated</w:t>
            </w:r>
          </w:p>
        </w:tc>
        <w:tc>
          <w:tcPr/>
          <w:p>
            <w:pPr>
              <w:pStyle w:val="Compact"/>
              <w:jc w:val="left"/>
            </w:pPr>
            <w:r>
              <w:t xml:space="preserve">32,050.00</w:t>
            </w:r>
          </w:p>
        </w:tc>
      </w:tr>
      <w:tr>
        <w:tc>
          <w:tcPr>
            <w:gridSpan w:val="4"/>
          </w:tcPr>
          <w:p>
            <w:pPr>
              <w:pStyle w:val="Compact"/>
              <w:jc w:val="left"/>
            </w:pPr>
            <w:r>
              <w:t xml:space="preserve">Subtotal (excl. VAT)</w:t>
            </w:r>
          </w:p>
        </w:tc>
        <w:tc>
          <w:tcPr/>
          <w:p>
            <w:pPr>
              <w:pStyle w:val="Compact"/>
              <w:jc w:val="left"/>
            </w:pPr>
            <w:r>
              <w:t xml:space="preserve">352,550.00</w:t>
            </w:r>
          </w:p>
        </w:tc>
      </w:tr>
      <w:tr>
        <w:tc>
          <w:tcPr>
            <w:gridSpan w:val="4"/>
          </w:tcPr>
          <w:p>
            <w:pPr>
              <w:pStyle w:val="Compact"/>
              <w:jc w:val="left"/>
            </w:pPr>
            <w:r>
              <w:t xml:space="preserve">VAT (19% — German Umsatzsteuer)</w:t>
            </w:r>
          </w:p>
        </w:tc>
        <w:tc>
          <w:tcPr/>
          <w:p>
            <w:pPr>
              <w:pStyle w:val="Compact"/>
              <w:jc w:val="left"/>
            </w:pPr>
            <w:r>
              <w:t xml:space="preserve">66,984.50</w:t>
            </w:r>
          </w:p>
        </w:tc>
      </w:tr>
      <w:tr>
        <w:tc>
          <w:tcPr>
            <w:gridSpan w:val="4"/>
          </w:tcPr>
          <w:p>
            <w:pPr>
              <w:pStyle w:val="Compact"/>
              <w:jc w:val="left"/>
            </w:pPr>
            <w:r>
              <w:t xml:space="preserve">TOTAL AMOUNT DUE (incl. VAT)</w:t>
            </w:r>
          </w:p>
        </w:tc>
        <w:tc>
          <w:tcPr/>
          <w:p>
            <w:pPr>
              <w:pStyle w:val="Compact"/>
              <w:jc w:val="left"/>
            </w:pPr>
            <w:r>
              <w:t xml:space="preserve">419,534.50</w:t>
            </w:r>
          </w:p>
        </w:tc>
      </w:tr>
    </w:tbl>
    <w:bookmarkEnd w:id="23"/>
    <w:bookmarkStart w:id="24" w:name="payment-terms"/>
    <w:p>
      <w:pPr>
        <w:pStyle w:val="Heading2"/>
      </w:pPr>
      <w:r>
        <w:t xml:space="preserve">4. Payment Terms</w:t>
      </w:r>
    </w:p>
    <w:p>
      <w:pPr>
        <w:pStyle w:val="FirstParagraph"/>
      </w:pPr>
      <w:r>
        <w:t xml:space="preserve">Payment for this</w:t>
      </w:r>
      <w:r>
        <w:t xml:space="preserve"> </w:t>
      </w:r>
      <w:r>
        <w:t xml:space="preserve">Quotation Estimate</w:t>
      </w:r>
      <w:r>
        <w:t xml:space="preserve"> </w:t>
      </w:r>
      <w:r>
        <w:t xml:space="preserve">shall be made in four equal quarterly installments of EUR 104,883.63 (inclusive of VAT), due on the 15th of the first month of each quarter. The first installment is due upon execution of the service agreement. Payments shall be remitted via SEPA bank transfer to the account of Munich Economic Advisory Group GmbH, IBAN DE89 3704 0044 0532 0130 00, BIC COBADEFFXXX, Bank: Commerzbank AG, Munich. Late payments shall accrue interest at the statutory rate under Section 288 of the German Civil Code (Bürgliches Gesetzbuch).</w:t>
      </w:r>
    </w:p>
    <w:bookmarkEnd w:id="24"/>
    <w:bookmarkStart w:id="25" w:name="terms-and-conditions"/>
    <w:p>
      <w:pPr>
        <w:pStyle w:val="Heading2"/>
      </w:pPr>
      <w:r>
        <w:t xml:space="preserve">5. Terms and Conditions</w:t>
      </w:r>
    </w:p>
    <w:p>
      <w:pPr>
        <w:numPr>
          <w:ilvl w:val="0"/>
          <w:numId w:val="1002"/>
        </w:numPr>
        <w:pStyle w:val="Compact"/>
      </w:pPr>
      <w:r>
        <w:t xml:space="preserve">This</w:t>
      </w:r>
      <w:r>
        <w:t xml:space="preserve"> </w:t>
      </w:r>
      <w:r>
        <w:t xml:space="preserve">Quotation Estimate</w:t>
      </w:r>
      <w:r>
        <w:t xml:space="preserve"> </w:t>
      </w:r>
      <w:r>
        <w:t xml:space="preserve">is valid for a period of ninety (90) calendar days from the date of issue. Thereafter, all rates and terms are subject to revision.</w:t>
      </w:r>
    </w:p>
    <w:p>
      <w:pPr>
        <w:numPr>
          <w:ilvl w:val="0"/>
          <w:numId w:val="1002"/>
        </w:numPr>
        <w:pStyle w:val="Compact"/>
      </w:pPr>
      <w:r>
        <w:t xml:space="preserve">The</w:t>
      </w:r>
      <w:r>
        <w:t xml:space="preserve"> </w:t>
      </w:r>
      <w:r>
        <w:t xml:space="preserve">Economist</w:t>
      </w:r>
      <w:r>
        <w:t xml:space="preserve"> </w:t>
      </w:r>
      <w:r>
        <w:t xml:space="preserve">engaged under this agreement shall comply with all applicable German labor laws, data protection regulations (GDPR / DSGVO), and professional ethical standards as defined by the German Economic Society (Verein für Socialpolitik).</w:t>
      </w:r>
    </w:p>
    <w:p>
      <w:pPr>
        <w:numPr>
          <w:ilvl w:val="0"/>
          <w:numId w:val="1002"/>
        </w:numPr>
        <w:pStyle w:val="Compact"/>
      </w:pPr>
      <w:r>
        <w:t xml:space="preserve">All work products, reports, and data generated in the course of this engagement shall become the exclusive property of the Bavarian Industrial Consortium e.V. upon full payment.</w:t>
      </w:r>
    </w:p>
    <w:p>
      <w:pPr>
        <w:numPr>
          <w:ilvl w:val="0"/>
          <w:numId w:val="1002"/>
        </w:numPr>
        <w:pStyle w:val="Compact"/>
      </w:pPr>
      <w:r>
        <w:t xml:space="preserve">Either party may terminate the engagement with a written notice period of sixty (60) days. In the event of early termination, all fees for work completed up to the termination date, plus a 10% administrative surcharge, shall remain payable.</w:t>
      </w:r>
    </w:p>
    <w:p>
      <w:pPr>
        <w:numPr>
          <w:ilvl w:val="0"/>
          <w:numId w:val="1002"/>
        </w:numPr>
        <w:pStyle w:val="Compact"/>
      </w:pPr>
      <w:r>
        <w:t xml:space="preserve">The</w:t>
      </w:r>
      <w:r>
        <w:t xml:space="preserve"> </w:t>
      </w:r>
      <w:r>
        <w:t xml:space="preserve">Economist</w:t>
      </w:r>
      <w:r>
        <w:t xml:space="preserve"> </w:t>
      </w:r>
      <w:r>
        <w:t xml:space="preserve">shall maintain professional liability insurance with a minimum coverage of EUR 2,000,000 per claim, valid throughout the duration of the engagement in</w:t>
      </w:r>
      <w:r>
        <w:t xml:space="preserve"> </w:t>
      </w:r>
      <w:r>
        <w:t xml:space="preserve">Germany Munich</w:t>
      </w:r>
      <w:r>
        <w:t xml:space="preserve">.</w:t>
      </w:r>
    </w:p>
    <w:p>
      <w:pPr>
        <w:numPr>
          <w:ilvl w:val="0"/>
          <w:numId w:val="1002"/>
        </w:numPr>
        <w:pStyle w:val="Compact"/>
      </w:pPr>
      <w:r>
        <w:t xml:space="preserve">Disputes arising from this agreement shall be resolved by the competent courts of Munich, Germany. The governing law shall be the law of the Federal Republic of Germany.</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both parties have executed a formal service agreement incorporating all terms herein.</w:t>
      </w:r>
    </w:p>
    <w:p>
      <w:pPr>
        <w:pStyle w:val="FirstParagraph"/>
      </w:pPr>
      <w:r>
        <w:rPr>
          <w:bCs/>
          <w:b/>
        </w:rPr>
        <w:t xml:space="preserve">Note:</w:t>
      </w:r>
      <w:r>
        <w:t xml:space="preserve"> </w:t>
      </w:r>
      <w:r>
        <w:t xml:space="preserve">This Quotation Estimate has been prepared specifically for use in Germany Munich and reflects current market rates for senior Economist services in the Munich metropolitan area as of June 2025. Rates are subject to adjustment in the event of significant changes to the German minimum wage, social security contribution rates, or the Euro exchange rate.</w:t>
      </w:r>
    </w:p>
    <w:p>
      <w:pPr>
        <w:pStyle w:val="BodyText"/>
      </w:pPr>
      <w:r>
        <w:rPr>
          <w:bCs/>
          <w:b/>
        </w:rPr>
        <w:t xml:space="preserve">For Munich Economic Advisory Group GmbH</w:t>
      </w:r>
      <w:r>
        <w:br/>
      </w:r>
      <w:r>
        <w:t xml:space="preserve">Dr. Katharina Weiss</w:t>
      </w:r>
      <w:r>
        <w:br/>
      </w:r>
      <w:r>
        <w:t xml:space="preserve">Senior Consultant &amp; Authorizing Signatory</w:t>
      </w:r>
      <w:r>
        <w:br/>
      </w:r>
      <w:r>
        <w:t xml:space="preserve">Date: _______________</w:t>
      </w:r>
    </w:p>
    <w:p>
      <w:pPr>
        <w:pStyle w:val="BodyText"/>
      </w:pPr>
      <w:r>
        <w:rPr>
          <w:bCs/>
          <w:b/>
        </w:rPr>
        <w:t xml:space="preserve">For Bavarian Industrial Consortium e.V.</w:t>
      </w:r>
      <w:r>
        <w:br/>
      </w:r>
      <w:r>
        <w:t xml:space="preserve">___________________________</w:t>
      </w:r>
      <w:r>
        <w:br/>
      </w:r>
      <w:r>
        <w:t xml:space="preserve">Name &amp; Title</w:t>
      </w:r>
      <w:r>
        <w:br/>
      </w:r>
      <w:r>
        <w:t xml:space="preserve">Date: _______________</w:t>
      </w:r>
    </w:p>
    <w:p>
      <w:pPr>
        <w:pStyle w:val="BodyText"/>
      </w:pPr>
      <w:r>
        <w:t xml:space="preserve">Quotation Estimate No. QE-2025-MUC-04782 — Economist Services — Germany Munich</w:t>
      </w:r>
      <w:r>
        <w:br/>
      </w:r>
      <w:r>
        <w:t xml:space="preserve">Munich Economic Advisory Group GmbH · Maximilianstraße 42, 80539 Munich, Germany · HRB 184,522, Amtsgericht München</w:t>
      </w:r>
      <w:r>
        <w:br/>
      </w:r>
      <w:r>
        <w:t xml:space="preserve">This document is confidential and intended solely for the named recipient. Unauthorized distribution is prohibited under German commercial law (HGB).</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Economist Services - Germany Munich</dc:title>
  <dc:creator/>
  <dc:language>en</dc:language>
  <cp:keywords/>
  <dcterms:created xsi:type="dcterms:W3CDTF">2026-10-10T06:41:20Z</dcterms:created>
  <dcterms:modified xsi:type="dcterms:W3CDTF">2026-10-10T06:41:20Z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