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India</w:t>
      </w:r>
      <w:r>
        <w:t xml:space="preserve"> </w:t>
      </w:r>
      <w:r>
        <w:t xml:space="preserve">Bangalore</w:t>
      </w:r>
    </w:p>
    <w:bookmarkStart w:id="20" w:name="quotation-estimate"/>
    <w:p>
      <w:pPr>
        <w:pStyle w:val="Heading1"/>
      </w:pPr>
      <w:r>
        <w:t xml:space="preserve">QUOTATION ESTIMATE</w:t>
      </w:r>
    </w:p>
    <w:p>
      <w:pPr>
        <w:pStyle w:val="FirstParagraph"/>
      </w:pPr>
      <w:r>
        <w:t xml:space="preserve">Professional Economist Advisory &amp; Consulting Services</w:t>
      </w:r>
    </w:p>
    <w:p>
      <w:pPr>
        <w:pStyle w:val="BodyText"/>
      </w:pPr>
      <w:r>
        <w:t xml:space="preserve">Serving Clients Across</w:t>
      </w:r>
      <w:r>
        <w:t xml:space="preserve"> </w:t>
      </w:r>
      <w:r>
        <w:t xml:space="preserve">India Bangalore</w:t>
      </w:r>
      <w:r>
        <w:t xml:space="preserve"> </w:t>
      </w:r>
      <w:r>
        <w:t xml:space="preserve">and Surrounding Regions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QE/BLR/2025/00472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the date of issue</w:t>
            </w:r>
          </w:p>
        </w:tc>
      </w:tr>
      <w:tr>
        <w:tc>
          <w:tcPr/>
          <w:p>
            <w:pPr>
              <w:pStyle w:val="Compact"/>
              <w:jc w:val="left"/>
            </w:pPr>
            <w:r>
              <w:t xml:space="preserve">Prepared By:</w:t>
            </w:r>
          </w:p>
        </w:tc>
        <w:tc>
          <w:tcPr/>
          <w:p>
            <w:pPr>
              <w:pStyle w:val="Compact"/>
              <w:jc w:val="left"/>
            </w:pPr>
            <w:r>
              <w:t xml:space="preserve">Dr. Arjun Mehta, Senior Economist &amp; Principal Consultant</w:t>
            </w:r>
          </w:p>
        </w:tc>
      </w:tr>
      <w:tr>
        <w:tc>
          <w:tcPr/>
          <w:p>
            <w:pPr>
              <w:pStyle w:val="Compact"/>
              <w:jc w:val="left"/>
            </w:pPr>
            <w:r>
              <w:t xml:space="preserve">Firm:</w:t>
            </w:r>
          </w:p>
        </w:tc>
        <w:tc>
          <w:tcPr/>
          <w:p>
            <w:pPr>
              <w:pStyle w:val="Compact"/>
              <w:jc w:val="left"/>
            </w:pPr>
            <w:r>
              <w:t xml:space="preserve">Mehta Economic Advisory LLP, 4th Floor, Prestige Tech Park, Whitefield,</w:t>
            </w:r>
            <w:r>
              <w:t xml:space="preserve"> </w:t>
            </w:r>
            <w:r>
              <w:t xml:space="preserve">India Bangalore</w:t>
            </w:r>
            <w:r>
              <w:t xml:space="preserve"> </w:t>
            </w:r>
            <w:r>
              <w:t xml:space="preserve">– 560066</w:t>
            </w:r>
          </w:p>
        </w:tc>
      </w:tr>
      <w:tr>
        <w:tc>
          <w:tcPr/>
          <w:p>
            <w:pPr>
              <w:pStyle w:val="Compact"/>
              <w:jc w:val="left"/>
            </w:pPr>
            <w:r>
              <w:t xml:space="preserve">Prepared For:</w:t>
            </w:r>
          </w:p>
        </w:tc>
        <w:tc>
          <w:tcPr/>
          <w:p>
            <w:pPr>
              <w:pStyle w:val="Compact"/>
              <w:jc w:val="left"/>
            </w:pPr>
            <w:r>
              <w:t xml:space="preserve">Mr. Rajesh Kumar, Director – Strategy &amp; Finance, TechNova Solutions Pvt. Ltd., Koramangala,</w:t>
            </w:r>
            <w:r>
              <w:t xml:space="preserve"> </w:t>
            </w:r>
            <w:r>
              <w:t xml:space="preserve">India Bangalore</w:t>
            </w:r>
            <w:r>
              <w:t xml:space="preserve"> </w:t>
            </w:r>
            <w:r>
              <w:t xml:space="preserve">– 560034</w:t>
            </w:r>
          </w:p>
        </w:tc>
      </w:tr>
      <w:tr>
        <w:tc>
          <w:tcPr/>
          <w:p>
            <w:pPr>
              <w:pStyle w:val="Compact"/>
              <w:jc w:val="left"/>
            </w:pPr>
            <w:r>
              <w:t xml:space="preserve">Engagement Type:</w:t>
            </w:r>
          </w:p>
        </w:tc>
        <w:tc>
          <w:tcPr/>
          <w:p>
            <w:pPr>
              <w:pStyle w:val="Compact"/>
              <w:jc w:val="left"/>
            </w:pPr>
            <w:r>
              <w:t xml:space="preserve">Retainer-Based Economist Consultancy (12-Month Term)</w:t>
            </w:r>
          </w:p>
        </w:tc>
      </w:tr>
    </w:tbl>
    <w:bookmarkStart w:id="21" w:name="Xe532c59dfae952c7b294537f0870e379934ad70"/>
    <w:p>
      <w:pPr>
        <w:pStyle w:val="Heading2"/>
      </w:pPr>
      <w:r>
        <w:t xml:space="preserve">1. Introduction &amp; Purpose of This Quotation Estimate</w:t>
      </w:r>
    </w:p>
    <w:p>
      <w:pPr>
        <w:pStyle w:val="FirstParagraph"/>
      </w:pPr>
      <w:r>
        <w:t xml:space="preserve">This</w:t>
      </w:r>
      <w:r>
        <w:t xml:space="preserve"> </w:t>
      </w:r>
      <w:r>
        <w:t xml:space="preserve">Quotation Estimate</w:t>
      </w:r>
      <w:r>
        <w:t xml:space="preserve"> </w:t>
      </w:r>
      <w:r>
        <w:t xml:space="preserve">is issued by Mehta Economic Advisory LLP to formally outline the scope, deliverables, and associated costs for engaging a qualified</w:t>
      </w:r>
      <w:r>
        <w:t xml:space="preserve"> </w:t>
      </w:r>
      <w:r>
        <w:t xml:space="preserve">Economist</w:t>
      </w:r>
      <w:r>
        <w:t xml:space="preserve"> </w:t>
      </w:r>
      <w:r>
        <w:t xml:space="preserve">to provide ongoing strategic economic advisory services to TechNova Solutions Pvt. Ltd. The engagement is specifically tailored to the unique business environment of</w:t>
      </w:r>
      <w:r>
        <w:t xml:space="preserve"> </w:t>
      </w:r>
      <w:r>
        <w:t xml:space="preserve">India Bangalore</w:t>
      </w:r>
      <w:r>
        <w:t xml:space="preserve">, which serves as the premier technology and innovation hub of the Indian subcontinent. This document constitutes a binding commercial proposal upon mutual acceptance and signature by both parties.</w:t>
      </w:r>
    </w:p>
    <w:bookmarkEnd w:id="21"/>
    <w:bookmarkStart w:id="22" w:name="scope-of-services-economist-engagement"/>
    <w:p>
      <w:pPr>
        <w:pStyle w:val="Heading2"/>
      </w:pPr>
      <w:r>
        <w:t xml:space="preserve">2. Scope of Services – Economist Engagement</w:t>
      </w:r>
    </w:p>
    <w:p>
      <w:pPr>
        <w:pStyle w:val="FirstParagraph"/>
      </w:pPr>
      <w:r>
        <w:t xml:space="preserve">The</w:t>
      </w:r>
      <w:r>
        <w:t xml:space="preserve"> </w:t>
      </w:r>
      <w:r>
        <w:t xml:space="preserve">Economist</w:t>
      </w:r>
      <w:r>
        <w:t xml:space="preserve"> </w:t>
      </w:r>
      <w:r>
        <w:t xml:space="preserve">retained under this</w:t>
      </w:r>
      <w:r>
        <w:t xml:space="preserve"> </w:t>
      </w:r>
      <w:r>
        <w:t xml:space="preserve">Quotation Estimate</w:t>
      </w:r>
      <w:r>
        <w:t xml:space="preserve"> </w:t>
      </w:r>
      <w:r>
        <w:t xml:space="preserve">shall deliver the following services to the client, all contextualized within the macroeconomic and microeconomic landscape of</w:t>
      </w:r>
      <w:r>
        <w:t xml:space="preserve"> </w:t>
      </w:r>
      <w:r>
        <w:t xml:space="preserve">India Bangalore</w:t>
      </w:r>
      <w:r>
        <w:t xml:space="preserve">:</w:t>
      </w:r>
    </w:p>
    <w:p>
      <w:pPr>
        <w:numPr>
          <w:ilvl w:val="0"/>
          <w:numId w:val="1001"/>
        </w:numPr>
        <w:pStyle w:val="Compact"/>
      </w:pPr>
      <w:r>
        <w:rPr>
          <w:bCs/>
          <w:b/>
        </w:rPr>
        <w:t xml:space="preserve">Macroeconomic Forecasting:</w:t>
      </w:r>
      <w:r>
        <w:t xml:space="preserve"> </w:t>
      </w:r>
      <w:r>
        <w:t xml:space="preserve">Quarterly analysis of GDP growth, inflation (CPI and WPI), monetary policy decisions by the Reserve Bank of India, and fiscal policy implications specific to the Karnataka state economy and the</w:t>
      </w:r>
      <w:r>
        <w:t xml:space="preserve"> </w:t>
      </w:r>
      <w:r>
        <w:t xml:space="preserve">India Bangalore</w:t>
      </w:r>
      <w:r>
        <w:t xml:space="preserve"> </w:t>
      </w:r>
      <w:r>
        <w:t xml:space="preserve">metropolitan region.</w:t>
      </w:r>
    </w:p>
    <w:p>
      <w:pPr>
        <w:numPr>
          <w:ilvl w:val="0"/>
          <w:numId w:val="1001"/>
        </w:numPr>
        <w:pStyle w:val="Compact"/>
      </w:pPr>
      <w:r>
        <w:rPr>
          <w:bCs/>
          <w:b/>
        </w:rPr>
        <w:t xml:space="preserve">Industry-Specific Economic Intelligence:</w:t>
      </w:r>
      <w:r>
        <w:t xml:space="preserve"> </w:t>
      </w:r>
      <w:r>
        <w:t xml:space="preserve">Monthly reports on the IT, semiconductor, and manufacturing sectors operating in</w:t>
      </w:r>
      <w:r>
        <w:t xml:space="preserve"> </w:t>
      </w:r>
      <w:r>
        <w:t xml:space="preserve">India Bangalore</w:t>
      </w:r>
      <w:r>
        <w:t xml:space="preserve">, including labour market trends, wage inflation, and supply-chain cost analysis.</w:t>
      </w:r>
    </w:p>
    <w:p>
      <w:pPr>
        <w:numPr>
          <w:ilvl w:val="0"/>
          <w:numId w:val="1001"/>
        </w:numPr>
        <w:pStyle w:val="Compact"/>
      </w:pPr>
      <w:r>
        <w:rPr>
          <w:bCs/>
          <w:b/>
        </w:rPr>
        <w:t xml:space="preserve">Regulatory &amp; Policy Advisory:</w:t>
      </w:r>
      <w:r>
        <w:t xml:space="preserve"> </w:t>
      </w:r>
      <w:r>
        <w:t xml:space="preserve">Assessment of upcoming government policies, GST amendments, FDI regulations, and Karnataka state industrial policies that may impact the client's operations in</w:t>
      </w:r>
      <w:r>
        <w:t xml:space="preserve"> </w:t>
      </w:r>
      <w:r>
        <w:t xml:space="preserve">India Bangalore</w:t>
      </w:r>
      <w:r>
        <w:t xml:space="preserve">.</w:t>
      </w:r>
    </w:p>
    <w:p>
      <w:pPr>
        <w:numPr>
          <w:ilvl w:val="0"/>
          <w:numId w:val="1001"/>
        </w:numPr>
        <w:pStyle w:val="Compact"/>
      </w:pPr>
      <w:r>
        <w:rPr>
          <w:bCs/>
          <w:b/>
        </w:rPr>
        <w:t xml:space="preserve">Strategic Financial Modelling:</w:t>
      </w:r>
      <w:r>
        <w:t xml:space="preserve"> </w:t>
      </w:r>
      <w:r>
        <w:t xml:space="preserve">Development of scenario-based economic models (base, optimistic, pessimistic) to support the client's capital allocation, expansion planning, and risk mitigation strategies.</w:t>
      </w:r>
    </w:p>
    <w:p>
      <w:pPr>
        <w:numPr>
          <w:ilvl w:val="0"/>
          <w:numId w:val="1001"/>
        </w:numPr>
        <w:pStyle w:val="Compact"/>
      </w:pPr>
      <w:r>
        <w:rPr>
          <w:bCs/>
          <w:b/>
        </w:rPr>
        <w:t xml:space="preserve">Board-Level Presentations:</w:t>
      </w:r>
      <w:r>
        <w:t xml:space="preserve"> </w:t>
      </w:r>
      <w:r>
        <w:t xml:space="preserve">Preparation and delivery of bi-monthly economic briefings to the client's Board of Directors, highlighting key indicators relevant to</w:t>
      </w:r>
      <w:r>
        <w:t xml:space="preserve"> </w:t>
      </w:r>
      <w:r>
        <w:t xml:space="preserve">India Bangalore</w:t>
      </w:r>
      <w:r>
        <w:t xml:space="preserve"> </w:t>
      </w:r>
      <w:r>
        <w:t xml:space="preserve">and the broader Indian economy.</w:t>
      </w:r>
    </w:p>
    <w:p>
      <w:pPr>
        <w:numPr>
          <w:ilvl w:val="0"/>
          <w:numId w:val="1001"/>
        </w:numPr>
        <w:pStyle w:val="Compact"/>
      </w:pPr>
      <w:r>
        <w:rPr>
          <w:bCs/>
          <w:b/>
        </w:rPr>
        <w:t xml:space="preserve">Ad-Hoc Research &amp; Analysis:</w:t>
      </w:r>
      <w:r>
        <w:t xml:space="preserve"> </w:t>
      </w:r>
      <w:r>
        <w:t xml:space="preserve">Up to four (4) custom research assignments per quarter addressing specific economic questions posed by the client's leadership team.</w:t>
      </w:r>
    </w:p>
    <w:p>
      <w:pPr>
        <w:numPr>
          <w:ilvl w:val="0"/>
          <w:numId w:val="1001"/>
        </w:numPr>
        <w:pStyle w:val="Compact"/>
      </w:pPr>
      <w:r>
        <w:rPr>
          <w:bCs/>
          <w:b/>
        </w:rPr>
        <w:t xml:space="preserve">Competitive Economic Benchmarking:</w:t>
      </w:r>
      <w:r>
        <w:t xml:space="preserve"> </w:t>
      </w:r>
      <w:r>
        <w:t xml:space="preserve">Comparative analysis of the client's cost structure and market positioning against peer companies operating in</w:t>
      </w:r>
      <w:r>
        <w:t xml:space="preserve"> </w:t>
      </w:r>
      <w:r>
        <w:t xml:space="preserve">India Bangalore</w:t>
      </w:r>
      <w:r>
        <w:t xml:space="preserve"> </w:t>
      </w:r>
      <w:r>
        <w:t xml:space="preserve">and other major Indian metropolitan centres (Mumbai, Hyderabad, Chennai).</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S.No.</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Cost (INR)</w:t>
            </w:r>
          </w:p>
        </w:tc>
        <w:tc>
          <w:tcPr/>
          <w:p>
            <w:pPr>
              <w:pStyle w:val="Compact"/>
              <w:jc w:val="left"/>
            </w:pPr>
            <w:r>
              <w:t xml:space="preserve">Annual Cost (INR)</w:t>
            </w:r>
          </w:p>
        </w:tc>
      </w:tr>
      <w:tr>
        <w:tc>
          <w:tcPr/>
          <w:p>
            <w:pPr>
              <w:pStyle w:val="Compact"/>
              <w:jc w:val="left"/>
            </w:pPr>
            <w:r>
              <w:t xml:space="preserve">1</w:t>
            </w:r>
          </w:p>
        </w:tc>
        <w:tc>
          <w:tcPr/>
          <w:p>
            <w:pPr>
              <w:pStyle w:val="Compact"/>
              <w:jc w:val="left"/>
            </w:pPr>
            <w:r>
              <w:t xml:space="preserve">Senior Economist Retainer – Full Advisory Access (Dr. Arjun Mehta)</w:t>
            </w:r>
          </w:p>
        </w:tc>
        <w:tc>
          <w:tcPr/>
          <w:p>
            <w:pPr>
              <w:pStyle w:val="Compact"/>
              <w:jc w:val="left"/>
            </w:pPr>
            <w:r>
              <w:t xml:space="preserve">Monthly</w:t>
            </w:r>
          </w:p>
        </w:tc>
        <w:tc>
          <w:tcPr/>
          <w:p>
            <w:pPr>
              <w:pStyle w:val="Compact"/>
              <w:jc w:val="left"/>
            </w:pPr>
            <w:r>
              <w:t xml:space="preserve">₹ 1,85,000</w:t>
            </w:r>
          </w:p>
        </w:tc>
        <w:tc>
          <w:tcPr/>
          <w:p>
            <w:pPr>
              <w:pStyle w:val="Compact"/>
              <w:jc w:val="left"/>
            </w:pPr>
            <w:r>
              <w:t xml:space="preserve">₹ 22,20,000</w:t>
            </w:r>
          </w:p>
        </w:tc>
      </w:tr>
      <w:tr>
        <w:tc>
          <w:tcPr/>
          <w:p>
            <w:pPr>
              <w:pStyle w:val="Compact"/>
              <w:jc w:val="left"/>
            </w:pPr>
            <w:r>
              <w:t xml:space="preserve">2</w:t>
            </w:r>
          </w:p>
        </w:tc>
        <w:tc>
          <w:tcPr/>
          <w:p>
            <w:pPr>
              <w:pStyle w:val="Compact"/>
              <w:jc w:val="left"/>
            </w:pPr>
            <w:r>
              <w:t xml:space="preserve">Macroeconomic &amp; Sectoral Research Reports (India Bangalore Focus)</w:t>
            </w:r>
          </w:p>
        </w:tc>
        <w:tc>
          <w:tcPr/>
          <w:p>
            <w:pPr>
              <w:pStyle w:val="Compact"/>
              <w:jc w:val="left"/>
            </w:pPr>
            <w:r>
              <w:t xml:space="preserve">Quarterly</w:t>
            </w:r>
          </w:p>
        </w:tc>
        <w:tc>
          <w:tcPr/>
          <w:p>
            <w:pPr>
              <w:pStyle w:val="Compact"/>
              <w:jc w:val="left"/>
            </w:pPr>
            <w:r>
              <w:t xml:space="preserve">₹ 95,000</w:t>
            </w:r>
          </w:p>
        </w:tc>
        <w:tc>
          <w:tcPr/>
          <w:p>
            <w:pPr>
              <w:pStyle w:val="Compact"/>
              <w:jc w:val="left"/>
            </w:pPr>
            <w:r>
              <w:t xml:space="preserve">₹ 3,80,000</w:t>
            </w:r>
          </w:p>
        </w:tc>
      </w:tr>
      <w:tr>
        <w:tc>
          <w:tcPr/>
          <w:p>
            <w:pPr>
              <w:pStyle w:val="Compact"/>
              <w:jc w:val="left"/>
            </w:pPr>
            <w:r>
              <w:t xml:space="preserve">3</w:t>
            </w:r>
          </w:p>
        </w:tc>
        <w:tc>
          <w:tcPr/>
          <w:p>
            <w:pPr>
              <w:pStyle w:val="Compact"/>
              <w:jc w:val="left"/>
            </w:pPr>
            <w:r>
              <w:t xml:space="preserve">Board-Level Economic Briefings &amp; Presentations</w:t>
            </w:r>
          </w:p>
        </w:tc>
        <w:tc>
          <w:tcPr/>
          <w:p>
            <w:pPr>
              <w:pStyle w:val="Compact"/>
              <w:jc w:val="left"/>
            </w:pPr>
            <w:r>
              <w:t xml:space="preserve">Bi-Monthly</w:t>
            </w:r>
          </w:p>
        </w:tc>
        <w:tc>
          <w:tcPr/>
          <w:p>
            <w:pPr>
              <w:pStyle w:val="Compact"/>
              <w:jc w:val="left"/>
            </w:pPr>
            <w:r>
              <w:t xml:space="preserve">₹ 65,000</w:t>
            </w:r>
          </w:p>
        </w:tc>
        <w:tc>
          <w:tcPr/>
          <w:p>
            <w:pPr>
              <w:pStyle w:val="Compact"/>
              <w:jc w:val="left"/>
            </w:pPr>
            <w:r>
              <w:t xml:space="preserve">₹ 3,90,000</w:t>
            </w:r>
          </w:p>
        </w:tc>
      </w:tr>
      <w:tr>
        <w:tc>
          <w:tcPr/>
          <w:p>
            <w:pPr>
              <w:pStyle w:val="Compact"/>
              <w:jc w:val="left"/>
            </w:pPr>
            <w:r>
              <w:t xml:space="preserve">4</w:t>
            </w:r>
          </w:p>
        </w:tc>
        <w:tc>
          <w:tcPr/>
          <w:p>
            <w:pPr>
              <w:pStyle w:val="Compact"/>
              <w:jc w:val="left"/>
            </w:pPr>
            <w:r>
              <w:t xml:space="preserve">Custom Ad-Hoc Research Assignments (up to 4 per quarter)</w:t>
            </w:r>
          </w:p>
        </w:tc>
        <w:tc>
          <w:tcPr/>
          <w:p>
            <w:pPr>
              <w:pStyle w:val="Compact"/>
              <w:jc w:val="left"/>
            </w:pPr>
            <w:r>
              <w:t xml:space="preserve">As Needed</w:t>
            </w:r>
          </w:p>
        </w:tc>
        <w:tc>
          <w:tcPr/>
          <w:p>
            <w:pPr>
              <w:pStyle w:val="Compact"/>
              <w:jc w:val="left"/>
            </w:pPr>
            <w:r>
              <w:t xml:space="preserve">₹ 45,000 each</w:t>
            </w:r>
          </w:p>
        </w:tc>
        <w:tc>
          <w:tcPr/>
          <w:p>
            <w:pPr>
              <w:pStyle w:val="Compact"/>
              <w:jc w:val="left"/>
            </w:pPr>
            <w:r>
              <w:t xml:space="preserve">₹ 7,20,000</w:t>
            </w:r>
          </w:p>
        </w:tc>
      </w:tr>
      <w:tr>
        <w:tc>
          <w:tcPr/>
          <w:p>
            <w:pPr>
              <w:pStyle w:val="Compact"/>
              <w:jc w:val="left"/>
            </w:pPr>
            <w:r>
              <w:t xml:space="preserve">5</w:t>
            </w:r>
          </w:p>
        </w:tc>
        <w:tc>
          <w:tcPr/>
          <w:p>
            <w:pPr>
              <w:pStyle w:val="Compact"/>
              <w:jc w:val="left"/>
            </w:pPr>
            <w:r>
              <w:t xml:space="preserve">Strategic Financial Modelling &amp; Scenario Analysis</w:t>
            </w:r>
          </w:p>
        </w:tc>
        <w:tc>
          <w:tcPr/>
          <w:p>
            <w:pPr>
              <w:pStyle w:val="Compact"/>
              <w:jc w:val="left"/>
            </w:pPr>
            <w:r>
              <w:t xml:space="preserve">Semi-Annual</w:t>
            </w:r>
          </w:p>
        </w:tc>
        <w:tc>
          <w:tcPr/>
          <w:p>
            <w:pPr>
              <w:pStyle w:val="Compact"/>
              <w:jc w:val="left"/>
            </w:pPr>
            <w:r>
              <w:t xml:space="preserve">₹ 1,20,000</w:t>
            </w:r>
          </w:p>
        </w:tc>
        <w:tc>
          <w:tcPr/>
          <w:p>
            <w:pPr>
              <w:pStyle w:val="Compact"/>
              <w:jc w:val="left"/>
            </w:pPr>
            <w:r>
              <w:t xml:space="preserve">₹ 2,40,000</w:t>
            </w:r>
          </w:p>
        </w:tc>
      </w:tr>
      <w:tr>
        <w:tc>
          <w:tcPr/>
          <w:p>
            <w:pPr>
              <w:pStyle w:val="Compact"/>
              <w:jc w:val="left"/>
            </w:pPr>
            <w:r>
              <w:t xml:space="preserve">6</w:t>
            </w:r>
          </w:p>
        </w:tc>
        <w:tc>
          <w:tcPr/>
          <w:p>
            <w:pPr>
              <w:pStyle w:val="Compact"/>
              <w:jc w:val="left"/>
            </w:pPr>
            <w:r>
              <w:t xml:space="preserve">Regulatory &amp; Policy Monitoring (Karnataka / India Bangalore)</w:t>
            </w:r>
          </w:p>
        </w:tc>
        <w:tc>
          <w:tcPr/>
          <w:p>
            <w:pPr>
              <w:pStyle w:val="Compact"/>
              <w:jc w:val="left"/>
            </w:pPr>
            <w:r>
              <w:t xml:space="preserve">Continuous</w:t>
            </w:r>
          </w:p>
        </w:tc>
        <w:tc>
          <w:tcPr/>
          <w:p>
            <w:pPr>
              <w:pStyle w:val="Compact"/>
              <w:jc w:val="left"/>
            </w:pPr>
            <w:r>
              <w:t xml:space="preserve">₹ 40,000</w:t>
            </w:r>
          </w:p>
        </w:tc>
        <w:tc>
          <w:tcPr/>
          <w:p>
            <w:pPr>
              <w:pStyle w:val="Compact"/>
              <w:jc w:val="left"/>
            </w:pPr>
            <w:r>
              <w:t xml:space="preserve">₹ 4,80,000</w:t>
            </w:r>
          </w:p>
        </w:tc>
      </w:tr>
      <w:tr>
        <w:tc>
          <w:tcPr/>
          <w:p>
            <w:pPr>
              <w:pStyle w:val="Compact"/>
              <w:jc w:val="left"/>
            </w:pPr>
            <w:r>
              <w:t xml:space="preserve">7</w:t>
            </w:r>
          </w:p>
        </w:tc>
        <w:tc>
          <w:tcPr/>
          <w:p>
            <w:pPr>
              <w:pStyle w:val="Compact"/>
              <w:jc w:val="left"/>
            </w:pPr>
            <w:r>
              <w:t xml:space="preserve">Travel &amp; On-Site Visits within India Bangalore Metro</w:t>
            </w:r>
          </w:p>
        </w:tc>
        <w:tc>
          <w:tcPr/>
          <w:p>
            <w:pPr>
              <w:pStyle w:val="Compact"/>
              <w:jc w:val="left"/>
            </w:pPr>
            <w:r>
              <w:t xml:space="preserve">Monthly</w:t>
            </w:r>
          </w:p>
        </w:tc>
        <w:tc>
          <w:tcPr/>
          <w:p>
            <w:pPr>
              <w:pStyle w:val="Compact"/>
              <w:jc w:val="left"/>
            </w:pPr>
            <w:r>
              <w:t xml:space="preserve">₹ 12,000</w:t>
            </w:r>
          </w:p>
        </w:tc>
        <w:tc>
          <w:tcPr/>
          <w:p>
            <w:pPr>
              <w:pStyle w:val="Compact"/>
              <w:jc w:val="left"/>
            </w:pPr>
            <w:r>
              <w:t xml:space="preserve">₹ 1,44,000</w:t>
            </w:r>
          </w:p>
        </w:tc>
      </w:tr>
      <w:tr>
        <w:tc>
          <w:tcPr/>
          <w:p>
            <w:pPr>
              <w:pStyle w:val="Compact"/>
              <w:jc w:val="left"/>
            </w:pPr>
            <w:r>
              <w:t xml:space="preserve">8</w:t>
            </w:r>
          </w:p>
        </w:tc>
        <w:tc>
          <w:tcPr/>
          <w:p>
            <w:pPr>
              <w:pStyle w:val="Compact"/>
              <w:jc w:val="left"/>
            </w:pPr>
            <w:r>
              <w:t xml:space="preserve">Administrative &amp; Overhead Charges</w:t>
            </w:r>
          </w:p>
        </w:tc>
        <w:tc>
          <w:tcPr/>
          <w:p>
            <w:pPr>
              <w:pStyle w:val="Compact"/>
              <w:jc w:val="left"/>
            </w:pPr>
            <w:r>
              <w:t xml:space="preserve">Annual</w:t>
            </w:r>
          </w:p>
        </w:tc>
        <w:tc>
          <w:tcPr/>
          <w:p>
            <w:pPr>
              <w:pStyle w:val="Compact"/>
              <w:jc w:val="left"/>
            </w:pPr>
            <w:r>
              <w:t xml:space="preserve">—</w:t>
            </w:r>
          </w:p>
        </w:tc>
        <w:tc>
          <w:tcPr/>
          <w:p>
            <w:pPr>
              <w:pStyle w:val="Compact"/>
              <w:jc w:val="left"/>
            </w:pPr>
            <w:r>
              <w:t xml:space="preserve">₹ 1,26,000</w:t>
            </w:r>
          </w:p>
        </w:tc>
      </w:tr>
      <w:tr>
        <w:tc>
          <w:tcPr>
            <w:gridSpan w:val="4"/>
          </w:tcPr>
          <w:p>
            <w:pPr>
              <w:pStyle w:val="Compact"/>
              <w:jc w:val="right"/>
            </w:pPr>
            <w:r>
              <w:t xml:space="preserve">Subtotal (Excluding GST):</w:t>
            </w:r>
          </w:p>
        </w:tc>
        <w:tc>
          <w:tcPr/>
          <w:p>
            <w:pPr>
              <w:pStyle w:val="Compact"/>
              <w:jc w:val="left"/>
            </w:pPr>
            <w:r>
              <w:t xml:space="preserve">₹ 47,00,000</w:t>
            </w:r>
          </w:p>
        </w:tc>
      </w:tr>
      <w:tr>
        <w:tc>
          <w:tcPr>
            <w:gridSpan w:val="4"/>
          </w:tcPr>
          <w:p>
            <w:pPr>
              <w:pStyle w:val="Compact"/>
              <w:jc w:val="right"/>
            </w:pPr>
            <w:r>
              <w:t xml:space="preserve">GST @ 18% (as applicable in India):</w:t>
            </w:r>
          </w:p>
        </w:tc>
        <w:tc>
          <w:tcPr/>
          <w:p>
            <w:pPr>
              <w:pStyle w:val="Compact"/>
              <w:jc w:val="left"/>
            </w:pPr>
            <w:r>
              <w:t xml:space="preserve">₹ 8,46,000</w:t>
            </w:r>
          </w:p>
        </w:tc>
      </w:tr>
      <w:tr>
        <w:tc>
          <w:tcPr>
            <w:gridSpan w:val="4"/>
          </w:tcPr>
          <w:p>
            <w:pPr>
              <w:pStyle w:val="Compact"/>
              <w:jc w:val="right"/>
            </w:pPr>
            <w:r>
              <w:t xml:space="preserve">Grand Total (Inclusive of GST):</w:t>
            </w:r>
          </w:p>
        </w:tc>
        <w:tc>
          <w:tcPr/>
          <w:p>
            <w:pPr>
              <w:pStyle w:val="Compact"/>
              <w:jc w:val="left"/>
            </w:pPr>
            <w:r>
              <w:t xml:space="preserve">₹ 55,46,000</w:t>
            </w:r>
          </w:p>
        </w:tc>
      </w:tr>
    </w:tbl>
    <w:bookmarkEnd w:id="23"/>
    <w:bookmarkStart w:id="24" w:name="payment-terms"/>
    <w:p>
      <w:pPr>
        <w:pStyle w:val="Heading2"/>
      </w:pPr>
      <w:r>
        <w:t xml:space="preserve">4. Payment Terms</w:t>
      </w:r>
    </w:p>
    <w:p>
      <w:pPr>
        <w:pStyle w:val="FirstParagraph"/>
      </w:pPr>
      <w:r>
        <w:t xml:space="preserve">The total amount of</w:t>
      </w:r>
      <w:r>
        <w:t xml:space="preserve"> </w:t>
      </w:r>
      <w:r>
        <w:rPr>
          <w:bCs/>
          <w:b/>
        </w:rPr>
        <w:t xml:space="preserve">₹ 55,46,000 (Rupees Fifty-Five Lakh Forty-Six Thousand Only)</w:t>
      </w:r>
      <w:r>
        <w:t xml:space="preserve"> </w:t>
      </w:r>
      <w:r>
        <w:t xml:space="preserve">shall be payable in quarterly instalments of ₹ 13,86,500 each, due within fifteen (15) calendar days of the invoice date. Payment shall be made via NEFT/RTGS to the firm's designated bank account in</w:t>
      </w:r>
      <w:r>
        <w:t xml:space="preserve"> </w:t>
      </w:r>
      <w:r>
        <w:t xml:space="preserve">India Bangalore</w:t>
      </w:r>
      <w:r>
        <w:t xml:space="preserve">. A 1.5% monthly late-payment surcharge shall apply to overdue balances.</w:t>
      </w:r>
    </w:p>
    <w:bookmarkEnd w:id="24"/>
    <w:bookmarkStart w:id="25" w:name="terms-conditions"/>
    <w:p>
      <w:pPr>
        <w:pStyle w:val="Heading2"/>
      </w:pPr>
      <w:r>
        <w:t xml:space="preserve">5. Terms &amp; Conditions</w:t>
      </w:r>
    </w:p>
    <w:p>
      <w:pPr>
        <w:numPr>
          <w:ilvl w:val="0"/>
          <w:numId w:val="1002"/>
        </w:numPr>
        <w:pStyle w:val="Compact"/>
      </w:pPr>
      <w:r>
        <w:t xml:space="preserve">This</w:t>
      </w:r>
      <w:r>
        <w:t xml:space="preserve"> </w:t>
      </w:r>
      <w:r>
        <w:t xml:space="preserve">Quotation Estimate</w:t>
      </w:r>
      <w:r>
        <w:t xml:space="preserve"> </w:t>
      </w:r>
      <w:r>
        <w:t xml:space="preserve">is valid for thirty (30) days from the date of issue. Beyond this period, all rates and terms are subject to revision based on prevailing economic conditions in</w:t>
      </w:r>
      <w:r>
        <w:t xml:space="preserve"> </w:t>
      </w:r>
      <w:r>
        <w:t xml:space="preserve">India Bangalore</w:t>
      </w:r>
      <w:r>
        <w:t xml:space="preserve"> </w:t>
      </w:r>
      <w:r>
        <w:t xml:space="preserve">and India at large.</w:t>
      </w:r>
    </w:p>
    <w:p>
      <w:pPr>
        <w:numPr>
          <w:ilvl w:val="0"/>
          <w:numId w:val="1002"/>
        </w:numPr>
        <w:pStyle w:val="Compact"/>
      </w:pPr>
      <w:r>
        <w:t xml:space="preserve">The</w:t>
      </w:r>
      <w:r>
        <w:t xml:space="preserve"> </w:t>
      </w:r>
      <w:r>
        <w:t xml:space="preserve">Economist</w:t>
      </w:r>
      <w:r>
        <w:t xml:space="preserve"> </w:t>
      </w:r>
      <w:r>
        <w:t xml:space="preserve">engaged under this agreement shall maintain strict confidentiality of all proprietary data, financial models, and strategic information shared by the client. A separate Non-Disclosure Agreement (NDA) shall be executed prior to the commencement of services.</w:t>
      </w:r>
    </w:p>
    <w:p>
      <w:pPr>
        <w:numPr>
          <w:ilvl w:val="0"/>
          <w:numId w:val="1002"/>
        </w:numPr>
        <w:pStyle w:val="Compact"/>
      </w:pPr>
      <w:r>
        <w:t xml:space="preserve">All deliverables, reports, and models produced by the</w:t>
      </w:r>
      <w:r>
        <w:t xml:space="preserve"> </w:t>
      </w:r>
      <w:r>
        <w:t xml:space="preserve">Economist</w:t>
      </w:r>
      <w:r>
        <w:t xml:space="preserve"> </w:t>
      </w:r>
      <w:r>
        <w:t xml:space="preserve">shall become the exclusive intellectual property of the client upon full payment of the corresponding invoice.</w:t>
      </w:r>
    </w:p>
    <w:p>
      <w:pPr>
        <w:numPr>
          <w:ilvl w:val="0"/>
          <w:numId w:val="1002"/>
        </w:numPr>
        <w:pStyle w:val="Compact"/>
      </w:pPr>
      <w:r>
        <w:t xml:space="preserve">The client reserves the right to terminate this engagement with a written notice of sixty (60) days. In such an event, all fees for services rendered up to the termination date shall be payable in full.</w:t>
      </w:r>
    </w:p>
    <w:p>
      <w:pPr>
        <w:numPr>
          <w:ilvl w:val="0"/>
          <w:numId w:val="1002"/>
        </w:numPr>
        <w:pStyle w:val="Compact"/>
      </w:pPr>
      <w:r>
        <w:t xml:space="preserve">Any dispute arising from this</w:t>
      </w:r>
      <w:r>
        <w:t xml:space="preserve"> </w:t>
      </w:r>
      <w:r>
        <w:t xml:space="preserve">Quotation Estimate</w:t>
      </w:r>
      <w:r>
        <w:t xml:space="preserve"> </w:t>
      </w:r>
      <w:r>
        <w:t xml:space="preserve">or the subsequent engagement shall be resolved through arbitration in</w:t>
      </w:r>
      <w:r>
        <w:t xml:space="preserve"> </w:t>
      </w:r>
      <w:r>
        <w:t xml:space="preserve">India Bangalore</w:t>
      </w:r>
      <w:r>
        <w:t xml:space="preserve">, in accordance with the Arbitration and Conciliation Act, 1996 of India.</w:t>
      </w:r>
    </w:p>
    <w:p>
      <w:pPr>
        <w:numPr>
          <w:ilvl w:val="0"/>
          <w:numId w:val="1002"/>
        </w:numPr>
        <w:pStyle w:val="Compact"/>
      </w:pPr>
      <w:r>
        <w:t xml:space="preserve">This</w:t>
      </w:r>
      <w:r>
        <w:t xml:space="preserve"> </w:t>
      </w:r>
      <w:r>
        <w:t xml:space="preserve">Quotation Estimate</w:t>
      </w:r>
      <w:r>
        <w:t xml:space="preserve"> </w:t>
      </w:r>
      <w:r>
        <w:t xml:space="preserve">does not constitute a guarantee of specific economic outcomes. The</w:t>
      </w:r>
      <w:r>
        <w:t xml:space="preserve"> </w:t>
      </w:r>
      <w:r>
        <w:t xml:space="preserve">Economist</w:t>
      </w:r>
      <w:r>
        <w:t xml:space="preserve"> </w:t>
      </w:r>
      <w:r>
        <w:t xml:space="preserve">provides advisory and analytical services based on available data and established economic methodologies.</w:t>
      </w:r>
    </w:p>
    <w:p>
      <w:pPr>
        <w:numPr>
          <w:ilvl w:val="0"/>
          <w:numId w:val="1002"/>
        </w:numPr>
        <w:pStyle w:val="Compact"/>
      </w:pPr>
      <w:r>
        <w:t xml:space="preserve">All services shall be rendered in compliance with the applicable laws of the Republic of India, including the Income Tax Act, GST Act, and the Karnataka Shops and Commercial Establishments Act.</w:t>
      </w:r>
    </w:p>
    <w:p>
      <w:pPr>
        <w:numPr>
          <w:ilvl w:val="0"/>
          <w:numId w:val="1002"/>
        </w:numPr>
        <w:pStyle w:val="Compact"/>
      </w:pPr>
      <w:r>
        <w:t xml:space="preserve">The</w:t>
      </w:r>
      <w:r>
        <w:t xml:space="preserve"> </w:t>
      </w:r>
      <w:r>
        <w:t xml:space="preserve">Economist</w:t>
      </w:r>
      <w:r>
        <w:t xml:space="preserve"> </w:t>
      </w:r>
      <w:r>
        <w:t xml:space="preserve">shall not be held liable for any indirect, consequential, or punitive damages arising from the use of the advisory services provided under this engagement.</w:t>
      </w:r>
    </w:p>
    <w:bookmarkEnd w:id="25"/>
    <w:bookmarkStart w:id="26" w:name="acceptance-authorization"/>
    <w:p>
      <w:pPr>
        <w:pStyle w:val="Heading2"/>
      </w:pPr>
      <w:r>
        <w:t xml:space="preserve">6. Acceptance &amp; Authorization</w:t>
      </w:r>
    </w:p>
    <w:p>
      <w:pPr>
        <w:pStyle w:val="FirstParagraph"/>
      </w:pPr>
      <w:r>
        <w:t xml:space="preserve">By signing below, both parties acknowledge that they have read, understood, and agree to all terms and conditions set forth in this</w:t>
      </w:r>
      <w:r>
        <w:t xml:space="preserve"> </w:t>
      </w:r>
      <w:r>
        <w:t xml:space="preserve">Quotation Estimate</w:t>
      </w:r>
      <w:r>
        <w:t xml:space="preserve"> </w:t>
      </w:r>
      <w:r>
        <w:t xml:space="preserve">for the engagement of the</w:t>
      </w:r>
      <w:r>
        <w:t xml:space="preserve"> </w:t>
      </w:r>
      <w:r>
        <w:t xml:space="preserve">Economist</w:t>
      </w:r>
      <w:r>
        <w:t xml:space="preserve"> </w:t>
      </w:r>
      <w:r>
        <w:t xml:space="preserve">in</w:t>
      </w:r>
      <w:r>
        <w:t xml:space="preserve"> </w:t>
      </w:r>
      <w:r>
        <w:t xml:space="preserve">India Bangalore</w:t>
      </w:r>
      <w:r>
        <w:t xml:space="preserve">.</w:t>
      </w:r>
    </w:p>
    <w:p>
      <w:pPr>
        <w:pStyle w:val="BodyText"/>
      </w:pPr>
      <w:r>
        <w:rPr>
          <w:bCs/>
          <w:b/>
        </w:rPr>
        <w:t xml:space="preserve">For Mehta Economic Advisory LLP</w:t>
      </w:r>
      <w:r>
        <w:br/>
      </w:r>
      <w:r>
        <w:t xml:space="preserve">Dr. Arjun Mehta</w:t>
      </w:r>
      <w:r>
        <w:br/>
      </w:r>
      <w:r>
        <w:t xml:space="preserve">Senior Economist &amp; Principal Consultant</w:t>
      </w:r>
      <w:r>
        <w:br/>
      </w:r>
      <w:r>
        <w:t xml:space="preserve">Date: _______________</w:t>
      </w:r>
    </w:p>
    <w:p>
      <w:pPr>
        <w:pStyle w:val="BodyText"/>
      </w:pPr>
      <w:r>
        <w:rPr>
          <w:bCs/>
          <w:b/>
        </w:rPr>
        <w:t xml:space="preserve">For TechNova Solutions Pvt. Ltd.</w:t>
      </w:r>
      <w:r>
        <w:br/>
      </w:r>
      <w:r>
        <w:t xml:space="preserve">Mr. Rajesh Kumar</w:t>
      </w:r>
      <w:r>
        <w:br/>
      </w:r>
      <w:r>
        <w:t xml:space="preserve">Director – Strategy &amp; Finance</w:t>
      </w:r>
      <w:r>
        <w:br/>
      </w:r>
      <w:r>
        <w:t xml:space="preserve">Date: _______________</w:t>
      </w:r>
    </w:p>
    <w:p>
      <w:pPr>
        <w:pStyle w:val="BodyText"/>
      </w:pPr>
      <w:r>
        <w:t xml:space="preserve">This Quotation Estimate document was prepared and issued in India Bangalore. All monetary values are denominated in Indian Rupees (INR / ₹).</w:t>
      </w:r>
      <w:r>
        <w:br/>
      </w:r>
      <w:r>
        <w:t xml:space="preserve">Mehta Economic Advisory LLP | CIN: U67120KA2019PTC000000 | GSTIN: 29ABCDE1234F1Z5</w:t>
      </w:r>
      <w:r>
        <w:br/>
      </w:r>
      <w:r>
        <w:t xml:space="preserve">4th Floor, Prestige Tech Park, Whitefield, India Bangalore – 560066 | Tel: +91-80-4000-XXXX | Email: advisory@mehtaeco.in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India Bangalore</dc:title>
  <dc:creator/>
  <dc:language>en</dc:language>
  <cp:keywords/>
  <dcterms:created xsi:type="dcterms:W3CDTF">2026-10-10T07:33:47Z</dcterms:created>
  <dcterms:modified xsi:type="dcterms:W3CDTF">2026-10-10T07:33:47Z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