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Economist Engagement — Indonesia Jakarta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QTE-ECON-JKT-2025-0472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r>
      <w:tr>
        <w:tc>
          <w:tcPr/>
          <w:p>
            <w:pPr>
              <w:pStyle w:val="Compact"/>
              <w:jc w:val="left"/>
            </w:pPr>
            <w:r>
              <w:t xml:space="preserve">Prepared By:</w:t>
            </w:r>
          </w:p>
        </w:tc>
        <w:tc>
          <w:tcPr/>
          <w:p>
            <w:pPr>
              <w:pStyle w:val="Compact"/>
              <w:jc w:val="left"/>
            </w:pPr>
            <w:r>
              <w:t xml:space="preserve">Meridian Advisory &amp; Consulting Group, Jakarta Office</w:t>
            </w:r>
          </w:p>
        </w:tc>
      </w:tr>
      <w:tr>
        <w:tc>
          <w:tcPr/>
          <w:p>
            <w:pPr>
              <w:pStyle w:val="Compact"/>
              <w:jc w:val="left"/>
            </w:pPr>
            <w:r>
              <w:t xml:space="preserve">Prepared For:</w:t>
            </w:r>
          </w:p>
        </w:tc>
        <w:tc>
          <w:tcPr/>
          <w:p>
            <w:pPr>
              <w:pStyle w:val="Compact"/>
              <w:jc w:val="left"/>
            </w:pPr>
            <w:r>
              <w:t xml:space="preserve">PT Nusantara Strategic Development Corporation, Jakarta, Indonesia</w:t>
            </w:r>
          </w:p>
        </w:tc>
      </w:tr>
      <w:tr>
        <w:tc>
          <w:tcPr/>
          <w:p>
            <w:pPr>
              <w:pStyle w:val="Compact"/>
              <w:jc w:val="left"/>
            </w:pPr>
            <w:r>
              <w:t xml:space="preserve">Project Location:</w:t>
            </w:r>
          </w:p>
        </w:tc>
        <w:tc>
          <w:tcPr/>
          <w:p>
            <w:pPr>
              <w:pStyle w:val="Compact"/>
              <w:jc w:val="left"/>
            </w:pPr>
            <w:r>
              <w:t xml:space="preserve">Indonesia Jakarta — Sudirman Central Business District, South Jakarta</w:t>
            </w:r>
          </w:p>
        </w:tc>
      </w:tr>
      <w:tr>
        <w:tc>
          <w:tcPr/>
          <w:p>
            <w:pPr>
              <w:pStyle w:val="Compact"/>
              <w:jc w:val="left"/>
            </w:pPr>
            <w:r>
              <w:t xml:space="preserve">Currency:</w:t>
            </w:r>
          </w:p>
        </w:tc>
        <w:tc>
          <w:tcPr/>
          <w:p>
            <w:pPr>
              <w:pStyle w:val="Compact"/>
              <w:jc w:val="left"/>
            </w:pPr>
            <w:r>
              <w:t xml:space="preserve">Indonesian Rupiah (IDR) / US Dollar (USD)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Meridian Advisory &amp; Consulting Group to PT Nusantara Strategic Development Corporation for the engagement of a senior</w:t>
      </w:r>
      <w:r>
        <w:t xml:space="preserve"> </w:t>
      </w:r>
      <w:r>
        <w:t xml:space="preserve">Economist</w:t>
      </w:r>
      <w:r>
        <w:t xml:space="preserve"> </w:t>
      </w:r>
      <w:r>
        <w:t xml:space="preserve">to provide comprehensive macroeconomic analysis, policy advisory, and strategic economic forecasting services. The scope of this</w:t>
      </w:r>
      <w:r>
        <w:t xml:space="preserve"> </w:t>
      </w:r>
      <w:r>
        <w:t xml:space="preserve">Economist</w:t>
      </w:r>
      <w:r>
        <w:t xml:space="preserve"> </w:t>
      </w:r>
      <w:r>
        <w:t xml:space="preserve">engagement is specifically tailored to the economic landscape of</w:t>
      </w:r>
      <w:r>
        <w:t xml:space="preserve"> </w:t>
      </w:r>
      <w:r>
        <w:t xml:space="preserve">Indonesia Jakarta</w:t>
      </w:r>
      <w:r>
        <w:t xml:space="preserve">, encompassing the capital region's unique fiscal environment, regulatory frameworks, and market dynamics. This</w:t>
      </w:r>
      <w:r>
        <w:t xml:space="preserve"> </w:t>
      </w:r>
      <w:r>
        <w:t xml:space="preserve">Quotation Estimate</w:t>
      </w:r>
      <w:r>
        <w:t xml:space="preserve"> </w:t>
      </w:r>
      <w:r>
        <w:t xml:space="preserve">outlines all deliverables, timelines, and associated costs for the proposed</w:t>
      </w:r>
      <w:r>
        <w:t xml:space="preserve"> </w:t>
      </w:r>
      <w:r>
        <w:t xml:space="preserve">Economist</w:t>
      </w:r>
      <w:r>
        <w:t xml:space="preserve"> </w:t>
      </w:r>
      <w:r>
        <w:t xml:space="preserve">services to be rendered within the</w:t>
      </w:r>
      <w:r>
        <w:t xml:space="preserve"> </w:t>
      </w:r>
      <w:r>
        <w:t xml:space="preserve">Indonesia Jakarta</w:t>
      </w:r>
      <w:r>
        <w:t xml:space="preserve"> </w:t>
      </w:r>
      <w:r>
        <w:t xml:space="preserve">metropolitan area and its surrounding economic zones.</w:t>
      </w:r>
    </w:p>
    <w:bookmarkEnd w:id="21"/>
    <w:bookmarkStart w:id="22" w:name="scope-of-economist-services"/>
    <w:p>
      <w:pPr>
        <w:pStyle w:val="Heading2"/>
      </w:pPr>
      <w:r>
        <w:t xml:space="preserve">2. Scope of Economist Services</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shall provide the following specialized services within the</w:t>
      </w:r>
      <w:r>
        <w:t xml:space="preserve"> </w:t>
      </w:r>
      <w:r>
        <w:t xml:space="preserve">Indonesia Jakarta</w:t>
      </w:r>
      <w:r>
        <w:t xml:space="preserve"> </w:t>
      </w:r>
      <w:r>
        <w:t xml:space="preserve">region:</w:t>
      </w:r>
    </w:p>
    <w:p>
      <w:pPr>
        <w:numPr>
          <w:ilvl w:val="0"/>
          <w:numId w:val="1001"/>
        </w:numPr>
        <w:pStyle w:val="Compact"/>
      </w:pPr>
      <w:r>
        <w:rPr>
          <w:bCs/>
          <w:b/>
        </w:rPr>
        <w:t xml:space="preserve">Macroeconomic Analysis for Indonesia Jakarta:</w:t>
      </w:r>
      <w:r>
        <w:t xml:space="preserve"> </w:t>
      </w:r>
      <w:r>
        <w:t xml:space="preserve">The</w:t>
      </w:r>
      <w:r>
        <w:t xml:space="preserve"> </w:t>
      </w:r>
      <w:r>
        <w:t xml:space="preserve">Economist</w:t>
      </w:r>
      <w:r>
        <w:t xml:space="preserve"> </w:t>
      </w:r>
      <w:r>
        <w:t xml:space="preserve">shall conduct a thorough assessment of the current macroeconomic conditions affecting the</w:t>
      </w:r>
      <w:r>
        <w:t xml:space="preserve"> </w:t>
      </w:r>
      <w:r>
        <w:t xml:space="preserve">Indonesia Jakarta</w:t>
      </w:r>
      <w:r>
        <w:t xml:space="preserve"> </w:t>
      </w:r>
      <w:r>
        <w:t xml:space="preserve">metropolitan area, including GDP growth projections, inflation trends, monetary policy implications from Bank Indonesia, and fiscal policy developments at both the national and DKI Jakarta provincial levels.</w:t>
      </w:r>
    </w:p>
    <w:p>
      <w:pPr>
        <w:numPr>
          <w:ilvl w:val="0"/>
          <w:numId w:val="1001"/>
        </w:numPr>
        <w:pStyle w:val="Compact"/>
      </w:pPr>
      <w:r>
        <w:rPr>
          <w:bCs/>
          <w:b/>
        </w:rPr>
        <w:t xml:space="preserve">Market Forecasting and Risk Assessment:</w:t>
      </w:r>
      <w:r>
        <w:t xml:space="preserve"> </w:t>
      </w:r>
      <w:r>
        <w:t xml:space="preserve">The</w:t>
      </w:r>
      <w:r>
        <w:t xml:space="preserve"> </w:t>
      </w:r>
      <w:r>
        <w:t xml:space="preserve">Economist</w:t>
      </w:r>
      <w:r>
        <w:t xml:space="preserve"> </w:t>
      </w:r>
      <w:r>
        <w:t xml:space="preserve">shall deliver quarterly economic forecasts specific to the</w:t>
      </w:r>
      <w:r>
        <w:t xml:space="preserve"> </w:t>
      </w:r>
      <w:r>
        <w:t xml:space="preserve">Indonesia Jakarta</w:t>
      </w:r>
      <w:r>
        <w:t xml:space="preserve"> </w:t>
      </w:r>
      <w:r>
        <w:t xml:space="preserve">market, covering foreign direct investment flows, trade balance impacts, currency volatility of the Indonesian Rupiah, and sector-specific growth indicators relevant to the client's operational footprint in</w:t>
      </w:r>
      <w:r>
        <w:t xml:space="preserve"> </w:t>
      </w:r>
      <w:r>
        <w:t xml:space="preserve">Indonesia Jakarta</w:t>
      </w:r>
      <w:r>
        <w:t xml:space="preserve">.</w:t>
      </w:r>
    </w:p>
    <w:p>
      <w:pPr>
        <w:numPr>
          <w:ilvl w:val="0"/>
          <w:numId w:val="1001"/>
        </w:numPr>
        <w:pStyle w:val="Compact"/>
      </w:pPr>
      <w:r>
        <w:rPr>
          <w:bCs/>
          <w:b/>
        </w:rPr>
        <w:t xml:space="preserve">Regulatory and Policy Advisory:</w:t>
      </w:r>
      <w:r>
        <w:t xml:space="preserve"> </w:t>
      </w:r>
      <w:r>
        <w:t xml:space="preserve">The</w:t>
      </w:r>
      <w:r>
        <w:t xml:space="preserve"> </w:t>
      </w:r>
      <w:r>
        <w:t xml:space="preserve">Economist</w:t>
      </w:r>
      <w:r>
        <w:t xml:space="preserve"> </w:t>
      </w:r>
      <w:r>
        <w:t xml:space="preserve">shall monitor and interpret all relevant economic regulations, tax policies, and trade agreements affecting business operations in</w:t>
      </w:r>
      <w:r>
        <w:t xml:space="preserve"> </w:t>
      </w:r>
      <w:r>
        <w:t xml:space="preserve">Indonesia Jakarta</w:t>
      </w:r>
      <w:r>
        <w:t xml:space="preserve">, including but not limited to the Omnibus Law implications, Jakarta provincial economic incentives, and ASEAN trade framework updates.</w:t>
      </w:r>
    </w:p>
    <w:p>
      <w:pPr>
        <w:numPr>
          <w:ilvl w:val="0"/>
          <w:numId w:val="1001"/>
        </w:numPr>
        <w:pStyle w:val="Compact"/>
      </w:pPr>
      <w:r>
        <w:rPr>
          <w:bCs/>
          <w:b/>
        </w:rPr>
        <w:t xml:space="preserve">Strategic Economic Consulting:</w:t>
      </w:r>
      <w:r>
        <w:t xml:space="preserve"> </w:t>
      </w:r>
      <w:r>
        <w:t xml:space="preserve">The</w:t>
      </w:r>
      <w:r>
        <w:t xml:space="preserve"> </w:t>
      </w:r>
      <w:r>
        <w:t xml:space="preserve">Economist</w:t>
      </w:r>
      <w:r>
        <w:t xml:space="preserve"> </w:t>
      </w:r>
      <w:r>
        <w:t xml:space="preserve">shall provide bespoke advisory sessions to the client's executive leadership team regarding optimal capital allocation, expansion timing, and risk mitigation strategies within the</w:t>
      </w:r>
      <w:r>
        <w:t xml:space="preserve"> </w:t>
      </w:r>
      <w:r>
        <w:t xml:space="preserve">Indonesia Jakarta</w:t>
      </w:r>
      <w:r>
        <w:t xml:space="preserve"> </w:t>
      </w:r>
      <w:r>
        <w:t xml:space="preserve">economic corridor.</w:t>
      </w:r>
    </w:p>
    <w:p>
      <w:pPr>
        <w:numPr>
          <w:ilvl w:val="0"/>
          <w:numId w:val="1001"/>
        </w:numPr>
        <w:pStyle w:val="Compact"/>
      </w:pPr>
      <w:r>
        <w:rPr>
          <w:bCs/>
          <w:b/>
        </w:rPr>
        <w:t xml:space="preserve">Stakeholder Engagement Support:</w:t>
      </w:r>
      <w:r>
        <w:t xml:space="preserve"> </w:t>
      </w:r>
      <w:r>
        <w:t xml:space="preserve">The</w:t>
      </w:r>
      <w:r>
        <w:t xml:space="preserve"> </w:t>
      </w:r>
      <w:r>
        <w:t xml:space="preserve">Economist</w:t>
      </w:r>
      <w:r>
        <w:t xml:space="preserve"> </w:t>
      </w:r>
      <w:r>
        <w:t xml:space="preserve">shall prepare economic briefing documents and present findings to relevant government agencies, chambers of commerce, and industry associations operating within</w:t>
      </w:r>
      <w:r>
        <w:t xml:space="preserve"> </w:t>
      </w:r>
      <w:r>
        <w:t xml:space="preserve">Indonesia Jakarta</w:t>
      </w:r>
      <w:r>
        <w:t xml:space="preserve">.</w:t>
      </w:r>
    </w:p>
    <w:bookmarkEnd w:id="22"/>
    <w:bookmarkStart w:id="23" w:name="X619b5fd3ff6b75c1137130ef1d0e71fa0d07aaf"/>
    <w:p>
      <w:pPr>
        <w:pStyle w:val="Heading2"/>
      </w:pPr>
      <w:r>
        <w:t xml:space="preserve">3. Quotation Estimate —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(IDR)</w:t>
            </w:r>
          </w:p>
        </w:tc>
        <w:tc>
          <w:tcPr/>
          <w:p>
            <w:pPr>
              <w:pStyle w:val="Compact"/>
              <w:jc w:val="left"/>
            </w:pPr>
            <w:r>
              <w:t xml:space="preserve">Subtotal (IDR)</w:t>
            </w:r>
          </w:p>
        </w:tc>
      </w:tr>
      <w:tr>
        <w:tc>
          <w:tcPr/>
          <w:p>
            <w:pPr>
              <w:pStyle w:val="Compact"/>
              <w:jc w:val="left"/>
            </w:pPr>
            <w:r>
              <w:t xml:space="preserve">01</w:t>
            </w:r>
          </w:p>
        </w:tc>
        <w:tc>
          <w:tcPr/>
          <w:p>
            <w:pPr>
              <w:pStyle w:val="Compact"/>
              <w:jc w:val="left"/>
            </w:pPr>
            <w:r>
              <w:t xml:space="preserve">Senior Economist Retainer — Monthly Advisory (Indonesia Jakarta)</w:t>
            </w:r>
          </w:p>
        </w:tc>
        <w:tc>
          <w:tcPr/>
          <w:p>
            <w:pPr>
              <w:pStyle w:val="Compact"/>
              <w:jc w:val="left"/>
            </w:pPr>
            <w:r>
              <w:t xml:space="preserve">12 months</w:t>
            </w:r>
          </w:p>
        </w:tc>
        <w:tc>
          <w:tcPr/>
          <w:p>
            <w:pPr>
              <w:pStyle w:val="Compact"/>
              <w:jc w:val="left"/>
            </w:pPr>
            <w:r>
              <w:t xml:space="preserve">85,000,000 / month</w:t>
            </w:r>
          </w:p>
        </w:tc>
        <w:tc>
          <w:tcPr/>
          <w:p>
            <w:pPr>
              <w:pStyle w:val="Compact"/>
              <w:jc w:val="left"/>
            </w:pPr>
            <w:r>
              <w:t xml:space="preserve">1,020,000,000</w:t>
            </w:r>
          </w:p>
        </w:tc>
      </w:tr>
      <w:tr>
        <w:tc>
          <w:tcPr/>
          <w:p>
            <w:pPr>
              <w:pStyle w:val="Compact"/>
              <w:jc w:val="left"/>
            </w:pPr>
            <w:r>
              <w:t xml:space="preserve">02</w:t>
            </w:r>
          </w:p>
        </w:tc>
        <w:tc>
          <w:tcPr/>
          <w:p>
            <w:pPr>
              <w:pStyle w:val="Compact"/>
              <w:jc w:val="left"/>
            </w:pPr>
            <w:r>
              <w:t xml:space="preserve">Comprehensive Macroeconomic Report — Indonesia Jakarta Region</w:t>
            </w:r>
          </w:p>
        </w:tc>
        <w:tc>
          <w:tcPr/>
          <w:p>
            <w:pPr>
              <w:pStyle w:val="Compact"/>
              <w:jc w:val="left"/>
            </w:pPr>
            <w:r>
              <w:t xml:space="preserve">One-time</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03</w:t>
            </w:r>
          </w:p>
        </w:tc>
        <w:tc>
          <w:tcPr/>
          <w:p>
            <w:pPr>
              <w:pStyle w:val="Compact"/>
              <w:jc w:val="left"/>
            </w:pPr>
            <w:r>
              <w:t xml:space="preserve">Quarterly Economic Forecasting &amp; Risk Assessment</w:t>
            </w:r>
          </w:p>
        </w:tc>
        <w:tc>
          <w:tcPr/>
          <w:p>
            <w:pPr>
              <w:pStyle w:val="Compact"/>
              <w:jc w:val="left"/>
            </w:pPr>
            <w:r>
              <w:t xml:space="preserve">4 quarters</w:t>
            </w:r>
          </w:p>
        </w:tc>
        <w:tc>
          <w:tcPr/>
          <w:p>
            <w:pPr>
              <w:pStyle w:val="Compact"/>
              <w:jc w:val="left"/>
            </w:pPr>
            <w:r>
              <w:t xml:space="preserve">45,000,000 / quarter</w:t>
            </w:r>
          </w:p>
        </w:tc>
        <w:tc>
          <w:tcPr/>
          <w:p>
            <w:pPr>
              <w:pStyle w:val="Compact"/>
              <w:jc w:val="left"/>
            </w:pPr>
            <w:r>
              <w:t xml:space="preserve">180,000,000</w:t>
            </w:r>
          </w:p>
        </w:tc>
      </w:tr>
      <w:tr>
        <w:tc>
          <w:tcPr/>
          <w:p>
            <w:pPr>
              <w:pStyle w:val="Compact"/>
              <w:jc w:val="left"/>
            </w:pPr>
            <w:r>
              <w:t xml:space="preserve">04</w:t>
            </w:r>
          </w:p>
        </w:tc>
        <w:tc>
          <w:tcPr/>
          <w:p>
            <w:pPr>
              <w:pStyle w:val="Compact"/>
              <w:jc w:val="left"/>
            </w:pPr>
            <w:r>
              <w:t xml:space="preserve">Regulatory Monitoring &amp; Policy Briefing Service</w:t>
            </w:r>
          </w:p>
        </w:tc>
        <w:tc>
          <w:tcPr/>
          <w:p>
            <w:pPr>
              <w:pStyle w:val="Compact"/>
              <w:jc w:val="left"/>
            </w:pPr>
            <w:r>
              <w:t xml:space="preserve">12 months</w:t>
            </w:r>
          </w:p>
        </w:tc>
        <w:tc>
          <w:tcPr/>
          <w:p>
            <w:pPr>
              <w:pStyle w:val="Compact"/>
              <w:jc w:val="left"/>
            </w:pPr>
            <w:r>
              <w:t xml:space="preserve">30,000,000 / month</w:t>
            </w:r>
          </w:p>
        </w:tc>
        <w:tc>
          <w:tcPr/>
          <w:p>
            <w:pPr>
              <w:pStyle w:val="Compact"/>
              <w:jc w:val="left"/>
            </w:pPr>
            <w:r>
              <w:t xml:space="preserve">360,000,000</w:t>
            </w:r>
          </w:p>
        </w:tc>
      </w:tr>
      <w:tr>
        <w:tc>
          <w:tcPr/>
          <w:p>
            <w:pPr>
              <w:pStyle w:val="Compact"/>
              <w:jc w:val="left"/>
            </w:pPr>
            <w:r>
              <w:t xml:space="preserve">05</w:t>
            </w:r>
          </w:p>
        </w:tc>
        <w:tc>
          <w:tcPr/>
          <w:p>
            <w:pPr>
              <w:pStyle w:val="Compact"/>
              <w:jc w:val="left"/>
            </w:pPr>
            <w:r>
              <w:t xml:space="preserve">Executive Advisory Sessions (Indonesia Jakarta HQ)</w:t>
            </w:r>
          </w:p>
        </w:tc>
        <w:tc>
          <w:tcPr/>
          <w:p>
            <w:pPr>
              <w:pStyle w:val="Compact"/>
              <w:jc w:val="left"/>
            </w:pPr>
            <w:r>
              <w:t xml:space="preserve">24 sessions</w:t>
            </w:r>
          </w:p>
        </w:tc>
        <w:tc>
          <w:tcPr/>
          <w:p>
            <w:pPr>
              <w:pStyle w:val="Compact"/>
              <w:jc w:val="left"/>
            </w:pPr>
            <w:r>
              <w:t xml:space="preserve">15,000,000 / session</w:t>
            </w:r>
          </w:p>
        </w:tc>
        <w:tc>
          <w:tcPr/>
          <w:p>
            <w:pPr>
              <w:pStyle w:val="Compact"/>
              <w:jc w:val="left"/>
            </w:pPr>
            <w:r>
              <w:t xml:space="preserve">360,000,000</w:t>
            </w:r>
          </w:p>
        </w:tc>
      </w:tr>
      <w:tr>
        <w:tc>
          <w:tcPr/>
          <w:p>
            <w:pPr>
              <w:pStyle w:val="Compact"/>
              <w:jc w:val="left"/>
            </w:pPr>
            <w:r>
              <w:t xml:space="preserve">06</w:t>
            </w:r>
          </w:p>
        </w:tc>
        <w:tc>
          <w:tcPr/>
          <w:p>
            <w:pPr>
              <w:pStyle w:val="Compact"/>
              <w:jc w:val="left"/>
            </w:pPr>
            <w:r>
              <w:t xml:space="preserve">Stakeholder Presentation &amp; Government Liaison Support</w:t>
            </w:r>
          </w:p>
        </w:tc>
        <w:tc>
          <w:tcPr/>
          <w:p>
            <w:pPr>
              <w:pStyle w:val="Compact"/>
              <w:jc w:val="left"/>
            </w:pPr>
            <w:r>
              <w:t xml:space="preserve">6 engagements</w:t>
            </w:r>
          </w:p>
        </w:tc>
        <w:tc>
          <w:tcPr/>
          <w:p>
            <w:pPr>
              <w:pStyle w:val="Compact"/>
              <w:jc w:val="left"/>
            </w:pPr>
            <w:r>
              <w:t xml:space="preserve">25,000,000 / engagement</w:t>
            </w:r>
          </w:p>
        </w:tc>
        <w:tc>
          <w:tcPr/>
          <w:p>
            <w:pPr>
              <w:pStyle w:val="Compact"/>
              <w:jc w:val="left"/>
            </w:pPr>
            <w:r>
              <w:t xml:space="preserve">150,000,000</w:t>
            </w:r>
          </w:p>
        </w:tc>
      </w:tr>
      <w:tr>
        <w:tc>
          <w:tcPr/>
          <w:p>
            <w:pPr>
              <w:pStyle w:val="Compact"/>
              <w:jc w:val="left"/>
            </w:pPr>
            <w:r>
              <w:t xml:space="preserve">07</w:t>
            </w:r>
          </w:p>
        </w:tc>
        <w:tc>
          <w:tcPr/>
          <w:p>
            <w:pPr>
              <w:pStyle w:val="Compact"/>
              <w:jc w:val="left"/>
            </w:pPr>
            <w:r>
              <w:t xml:space="preserve">Travel &amp; Local Transportation within Indonesia Jakarta</w:t>
            </w:r>
          </w:p>
        </w:tc>
        <w:tc>
          <w:tcPr/>
          <w:p>
            <w:pPr>
              <w:pStyle w:val="Compact"/>
              <w:jc w:val="left"/>
            </w:pPr>
            <w:r>
              <w:t xml:space="preserve">12 months</w:t>
            </w:r>
          </w:p>
        </w:tc>
        <w:tc>
          <w:tcPr/>
          <w:p>
            <w:pPr>
              <w:pStyle w:val="Compact"/>
              <w:jc w:val="left"/>
            </w:pPr>
            <w:r>
              <w:t xml:space="preserve">8,000,000 / month</w:t>
            </w:r>
          </w:p>
        </w:tc>
        <w:tc>
          <w:tcPr/>
          <w:p>
            <w:pPr>
              <w:pStyle w:val="Compact"/>
              <w:jc w:val="left"/>
            </w:pPr>
            <w:r>
              <w:t xml:space="preserve">96,000,000</w:t>
            </w:r>
          </w:p>
        </w:tc>
      </w:tr>
      <w:tr>
        <w:tc>
          <w:tcPr/>
          <w:p>
            <w:pPr>
              <w:pStyle w:val="Compact"/>
              <w:jc w:val="left"/>
            </w:pPr>
            <w:r>
              <w:t xml:space="preserve">08</w:t>
            </w:r>
          </w:p>
        </w:tc>
        <w:tc>
          <w:tcPr/>
          <w:p>
            <w:pPr>
              <w:pStyle w:val="Compact"/>
              <w:jc w:val="left"/>
            </w:pPr>
            <w:r>
              <w:t xml:space="preserve">Data Licensing &amp; Research Subscriptions (Indonesia Jakarta focus)</w:t>
            </w:r>
          </w:p>
        </w:tc>
        <w:tc>
          <w:tcPr/>
          <w:p>
            <w:pPr>
              <w:pStyle w:val="Compact"/>
              <w:jc w:val="left"/>
            </w:pPr>
            <w:r>
              <w:t xml:space="preserve">12 months</w:t>
            </w:r>
          </w:p>
        </w:tc>
        <w:tc>
          <w:tcPr/>
          <w:p>
            <w:pPr>
              <w:pStyle w:val="Compact"/>
              <w:jc w:val="left"/>
            </w:pPr>
            <w:r>
              <w:t xml:space="preserve">12,000,000 / month</w:t>
            </w:r>
          </w:p>
        </w:tc>
        <w:tc>
          <w:tcPr/>
          <w:p>
            <w:pPr>
              <w:pStyle w:val="Compact"/>
              <w:jc w:val="left"/>
            </w:pPr>
            <w:r>
              <w:t xml:space="preserve">144,000,000</w:t>
            </w:r>
          </w:p>
        </w:tc>
      </w:tr>
      <w:tr>
        <w:tc>
          <w:tcPr>
            <w:gridSpan w:val="4"/>
          </w:tcPr>
          <w:p>
            <w:pPr>
              <w:pStyle w:val="Compact"/>
              <w:jc w:val="left"/>
            </w:pPr>
            <w:r>
              <w:t xml:space="preserve">TOTAL QUOTATION ESTIMATE (Before Tax)</w:t>
            </w:r>
          </w:p>
        </w:tc>
        <w:tc>
          <w:tcPr/>
          <w:p>
            <w:pPr>
              <w:pStyle w:val="Compact"/>
              <w:jc w:val="left"/>
            </w:pPr>
            <w:r>
              <w:t xml:space="preserve">IDR 2,430,000,000</w:t>
            </w:r>
          </w:p>
        </w:tc>
      </w:tr>
      <w:tr>
        <w:tc>
          <w:tcPr>
            <w:gridSpan w:val="4"/>
          </w:tcPr>
          <w:p>
            <w:pPr>
              <w:pStyle w:val="Compact"/>
              <w:jc w:val="left"/>
            </w:pPr>
            <w:r>
              <w:t xml:space="preserve">VAT (11% — Indonesia Jakarta Standard Rate)</w:t>
            </w:r>
          </w:p>
        </w:tc>
        <w:tc>
          <w:tcPr/>
          <w:p>
            <w:pPr>
              <w:pStyle w:val="Compact"/>
              <w:jc w:val="left"/>
            </w:pPr>
            <w:r>
              <w:t xml:space="preserve">IDR 267,300,000</w:t>
            </w:r>
          </w:p>
        </w:tc>
      </w:tr>
      <w:tr>
        <w:tc>
          <w:tcPr>
            <w:gridSpan w:val="4"/>
          </w:tcPr>
          <w:p>
            <w:pPr>
              <w:pStyle w:val="Compact"/>
              <w:jc w:val="left"/>
            </w:pPr>
            <w:r>
              <w:t xml:space="preserve">GRAND TOTAL — FINAL QUOTATION ESTIMATE</w:t>
            </w:r>
          </w:p>
        </w:tc>
        <w:tc>
          <w:tcPr/>
          <w:p>
            <w:pPr>
              <w:pStyle w:val="Compact"/>
              <w:jc w:val="left"/>
            </w:pPr>
            <w:r>
              <w:t xml:space="preserve">IDR 2,697,300,000</w:t>
            </w:r>
          </w:p>
        </w:tc>
      </w:tr>
    </w:tbl>
    <w:p>
      <w:pPr>
        <w:pStyle w:val="BodyText"/>
      </w:pPr>
      <w:r>
        <w:t xml:space="preserve">* Equivalent to approximately USD 168,500 at the prevailing Bank Indonesia reference rate. All figures in this Quotation Estimate are subject to currency fluctuation adjustments if payment is settled in USD.</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Upon expiration, all rates for the</w:t>
      </w:r>
      <w:r>
        <w:t xml:space="preserve"> </w:t>
      </w:r>
      <w:r>
        <w:t xml:space="preserve">Economist</w:t>
      </w:r>
      <w:r>
        <w:t xml:space="preserve"> </w:t>
      </w:r>
      <w:r>
        <w:t xml:space="preserve">engagement in</w:t>
      </w:r>
      <w:r>
        <w:t xml:space="preserve"> </w:t>
      </w:r>
      <w:r>
        <w:t xml:space="preserve">Indonesia Jakarta</w:t>
      </w:r>
      <w:r>
        <w:t xml:space="preserve"> </w:t>
      </w:r>
      <w:r>
        <w:t xml:space="preserve">are subject to revision based on prevailing market conditions.</w:t>
      </w:r>
    </w:p>
    <w:p>
      <w:pPr>
        <w:numPr>
          <w:ilvl w:val="0"/>
          <w:numId w:val="1002"/>
        </w:numPr>
        <w:pStyle w:val="Compact"/>
      </w:pPr>
      <w:r>
        <w:t xml:space="preserve">Payment terms: 40% advance upon acceptance of this</w:t>
      </w:r>
      <w:r>
        <w:t xml:space="preserve"> </w:t>
      </w:r>
      <w:r>
        <w:t xml:space="preserve">Quotation Estimate</w:t>
      </w:r>
      <w:r>
        <w:t xml:space="preserve">, 30% upon completion of the first six-month milestone, and 30% upon final delivery of all</w:t>
      </w:r>
      <w:r>
        <w:t xml:space="preserve"> </w:t>
      </w:r>
      <w:r>
        <w:t xml:space="preserve">Economist</w:t>
      </w:r>
      <w:r>
        <w:t xml:space="preserve"> </w:t>
      </w:r>
      <w:r>
        <w:t xml:space="preserve">deliverables in</w:t>
      </w:r>
      <w:r>
        <w:t xml:space="preserve"> </w:t>
      </w:r>
      <w:r>
        <w:t xml:space="preserve">Indonesia Jakarta</w:t>
      </w:r>
      <w:r>
        <w:t xml:space="preserve">.</w:t>
      </w:r>
    </w:p>
    <w:p>
      <w:pPr>
        <w:numPr>
          <w:ilvl w:val="0"/>
          <w:numId w:val="1002"/>
        </w:numPr>
        <w:pStyle w:val="Compact"/>
      </w:pPr>
      <w:r>
        <w:t xml:space="preserve">The</w:t>
      </w:r>
      <w:r>
        <w:t xml:space="preserve"> </w:t>
      </w:r>
      <w:r>
        <w:t xml:space="preserve">Economist</w:t>
      </w:r>
      <w:r>
        <w:t xml:space="preserve"> </w:t>
      </w:r>
      <w:r>
        <w:t xml:space="preserve">shall maintain strict confidentiality regarding all proprietary data, strategic plans, and internal communications of the client. All work products generated in</w:t>
      </w:r>
      <w:r>
        <w:t xml:space="preserve"> </w:t>
      </w:r>
      <w:r>
        <w:t xml:space="preserve">Indonesia Jakarta</w:t>
      </w:r>
      <w:r>
        <w:t xml:space="preserve"> </w:t>
      </w:r>
      <w:r>
        <w:t xml:space="preserve">shall remain the exclusive intellectual property of PT Nusantara Strategic Development Corporation.</w:t>
      </w:r>
    </w:p>
    <w:p>
      <w:pPr>
        <w:numPr>
          <w:ilvl w:val="0"/>
          <w:numId w:val="1002"/>
        </w:numPr>
        <w:pStyle w:val="Compact"/>
      </w:pPr>
      <w:r>
        <w:t xml:space="preserve">Any additional services beyond the scope defined in this</w:t>
      </w:r>
      <w:r>
        <w:t xml:space="preserve"> </w:t>
      </w:r>
      <w:r>
        <w:t xml:space="preserve">Quotation Estimate</w:t>
      </w:r>
      <w:r>
        <w:t xml:space="preserve"> </w:t>
      </w:r>
      <w:r>
        <w:t xml:space="preserve">shall be subject to a supplementary</w:t>
      </w:r>
      <w:r>
        <w:t xml:space="preserve"> </w:t>
      </w:r>
      <w:r>
        <w:t xml:space="preserve">Quotation Estimate</w:t>
      </w:r>
      <w:r>
        <w:t xml:space="preserve"> </w:t>
      </w:r>
      <w:r>
        <w:t xml:space="preserve">issued separately and approved in writing by both parties.</w:t>
      </w:r>
    </w:p>
    <w:p>
      <w:pPr>
        <w:numPr>
          <w:ilvl w:val="0"/>
          <w:numId w:val="1002"/>
        </w:numPr>
        <w:pStyle w:val="Compact"/>
      </w:pPr>
      <w:r>
        <w:t xml:space="preserve">The</w:t>
      </w:r>
      <w:r>
        <w:t xml:space="preserve"> </w:t>
      </w:r>
      <w:r>
        <w:t xml:space="preserve">Economist</w:t>
      </w:r>
      <w:r>
        <w:t xml:space="preserve"> </w:t>
      </w:r>
      <w:r>
        <w:t xml:space="preserve">shall comply with all applicable Indonesian labor laws, tax regulations, and professional conduct standards as enforced in</w:t>
      </w:r>
      <w:r>
        <w:t xml:space="preserve"> </w:t>
      </w:r>
      <w:r>
        <w:t xml:space="preserve">Indonesia Jakarta</w:t>
      </w:r>
      <w:r>
        <w:t xml:space="preserve"> </w:t>
      </w:r>
      <w:r>
        <w:t xml:space="preserve">and throughout the Republic of Indonesia.</w:t>
      </w:r>
    </w:p>
    <w:p>
      <w:pPr>
        <w:numPr>
          <w:ilvl w:val="0"/>
          <w:numId w:val="1002"/>
        </w:numPr>
        <w:pStyle w:val="Compact"/>
      </w:pPr>
      <w:r>
        <w:t xml:space="preserve">Force majeure events, including but not limited to natural disasters, government-mandated lockdowns, or significant economic disruptions affecting</w:t>
      </w:r>
      <w:r>
        <w:t xml:space="preserve"> </w:t>
      </w:r>
      <w:r>
        <w:t xml:space="preserve">Indonesia Jakarta</w:t>
      </w:r>
      <w:r>
        <w:t xml:space="preserve">, shall be grounds for temporary suspension of services without penalty to either party.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countersigned by authorized representatives of both parties. The definitive service agreement for the</w:t>
      </w:r>
      <w:r>
        <w:t xml:space="preserve"> </w:t>
      </w:r>
      <w:r>
        <w:t xml:space="preserve">Economist</w:t>
      </w:r>
      <w:r>
        <w:t xml:space="preserve"> </w:t>
      </w:r>
      <w:r>
        <w:t xml:space="preserve">engagement in</w:t>
      </w:r>
      <w:r>
        <w:t xml:space="preserve"> </w:t>
      </w:r>
      <w:r>
        <w:t xml:space="preserve">Indonesia Jakarta</w:t>
      </w:r>
      <w:r>
        <w:t xml:space="preserve"> </w:t>
      </w:r>
      <w:r>
        <w:t xml:space="preserve">shall be executed within fourteen (14) days of acceptance.</w:t>
      </w:r>
    </w:p>
    <w:bookmarkEnd w:id="24"/>
    <w:bookmarkStart w:id="25" w:name="acceptance-and-authorization"/>
    <w:p>
      <w:pPr>
        <w:pStyle w:val="Heading2"/>
      </w:pPr>
      <w:r>
        <w:t xml:space="preserve">5. Acceptance and Authorization</w:t>
      </w:r>
    </w:p>
    <w:p>
      <w:pPr>
        <w:pStyle w:val="FirstParagraph"/>
      </w:pPr>
      <w:r>
        <w:rPr>
          <w:bCs/>
          <w:b/>
        </w:rPr>
        <w:t xml:space="preserve">For Meridian Advisory &amp; Consulting Group</w:t>
      </w:r>
    </w:p>
    <w:p>
      <w:pPr>
        <w:pStyle w:val="BodyText"/>
      </w:pPr>
      <w:r>
        <w:t xml:space="preserve">Name: Dr. Hendra Wijaya, CFA</w:t>
      </w:r>
      <w:r>
        <w:br/>
      </w:r>
      <w:r>
        <w:t xml:space="preserve">Title: Managing Director</w:t>
      </w:r>
      <w:r>
        <w:br/>
      </w:r>
      <w:r>
        <w:t xml:space="preserve">Date: _______________</w:t>
      </w:r>
    </w:p>
    <w:p>
      <w:pPr>
        <w:pStyle w:val="BodyText"/>
      </w:pPr>
      <w:r>
        <w:rPr>
          <w:bCs/>
          <w:b/>
        </w:rPr>
        <w:t xml:space="preserve">For PT Nusantara Strategic Development Corporation</w:t>
      </w:r>
    </w:p>
    <w:p>
      <w:pPr>
        <w:pStyle w:val="BodyText"/>
      </w:pPr>
      <w:r>
        <w:t xml:space="preserve">Name: _________________________</w:t>
      </w:r>
      <w:r>
        <w:br/>
      </w:r>
      <w:r>
        <w:t xml:space="preserve">Title: _________________________</w:t>
      </w:r>
      <w:r>
        <w:br/>
      </w:r>
      <w:r>
        <w:t xml:space="preserve">Date: _______________</w:t>
      </w:r>
    </w:p>
    <w:p>
      <w:pPr>
        <w:pStyle w:val="BodyText"/>
      </w:pPr>
      <w:r>
        <w:rPr>
          <w:bCs/>
          <w:b/>
        </w:rPr>
        <w:t xml:space="preserve">Important Notice:</w:t>
      </w:r>
      <w:r>
        <w:t xml:space="preserve"> </w:t>
      </w:r>
      <w:r>
        <w:t xml:space="preserve">This Quotation Estimate for Economist services in Indonesia Jakarta has been prepared in accordance with the professional standards of the Indonesian Institute of Economists (Ikatan Ahli Ekonomi Indonesia) and the regulatory guidelines of the South Jakarta Business Licensing Authority. All economic data referenced in this Quotation Estimate is sourced from Bank Indonesia, the Central Statistics Agency of Indonesia (BPS), and the Ministry of Finance of the Republic of Indonesia. This document is confidential and intended solely for the named recipient. Unauthorized reproduction or distribution of this Quotation Estimate is strictly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Indonesia Jakarta</dc:title>
  <dc:creator/>
  <dc:language>en</dc:language>
  <cp:keywords/>
  <dcterms:created xsi:type="dcterms:W3CDTF">2026-10-10T07:36:25Z</dcterms:created>
  <dcterms:modified xsi:type="dcterms:W3CDTF">2026-10-10T07:36:25Z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