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Economist Engagement Services — Iran Tehran</w:t>
      </w:r>
    </w:p>
    <w:p>
      <w:pPr>
        <w:pStyle w:val="BodyText"/>
      </w:pPr>
      <w:r>
        <w:t xml:space="preserve">Ref: QTE-IRN-TEH-2025-0472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Meridian Economic Advisory Group, Office No. 12, Vali Asr Avenue, Tehran, Iran</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Quotation Estimate No.:</w:t>
            </w:r>
          </w:p>
        </w:tc>
        <w:tc>
          <w:tcPr/>
          <w:p>
            <w:pPr>
              <w:pStyle w:val="Compact"/>
              <w:jc w:val="left"/>
            </w:pPr>
            <w:r>
              <w:t xml:space="preserve">QTE-IRN-TEH-2025-0472</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Iranian Rial (IRR) / US Dollar (USD) equivalent at Central Bank of Iran rate</w:t>
            </w:r>
          </w:p>
        </w:tc>
      </w:tr>
      <w:tr>
        <w:tc>
          <w:tcPr/>
          <w:p>
            <w:pPr>
              <w:pStyle w:val="Compact"/>
              <w:jc w:val="left"/>
            </w:pPr>
            <w:r>
              <w:t xml:space="preserve">Service Location:</w:t>
            </w:r>
          </w:p>
        </w:tc>
        <w:tc>
          <w:tcPr/>
          <w:p>
            <w:pPr>
              <w:pStyle w:val="Compact"/>
              <w:jc w:val="left"/>
            </w:pPr>
            <w:r>
              <w:t xml:space="preserve">Tehran, Iran (primary); remote consultation available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Economic Advisory Group to formally outline the professional fees, deliverables, and engagement terms for the retention of a senior</w:t>
      </w:r>
      <w:r>
        <w:t xml:space="preserve"> </w:t>
      </w:r>
      <w:r>
        <w:t xml:space="preserve">Economist</w:t>
      </w:r>
      <w:r>
        <w:t xml:space="preserve"> </w:t>
      </w:r>
      <w:r>
        <w:t xml:space="preserve">to provide comprehensive economic analysis, policy advisory, and market research services within the jurisdiction of</w:t>
      </w:r>
      <w:r>
        <w:t xml:space="preserve"> </w:t>
      </w:r>
      <w:r>
        <w:t xml:space="preserve">Iran Tehran</w:t>
      </w:r>
      <w:r>
        <w:t xml:space="preserve">. The scope of work described herein has been tailored to address the specific macroeconomic, trade, and fiscal challenges currently facing organizations operating in the Tehran metropolitan area and the broader Iranian economic landscape.</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possess a minimum of fifteen (15) years of experience in macroeconomic modeling, international trade policy, and fiscal analysis, with demonstrated expertise in the regulatory and market conditions specific to</w:t>
      </w:r>
      <w:r>
        <w:t xml:space="preserve"> </w:t>
      </w:r>
      <w:r>
        <w:t xml:space="preserve">Iran Tehran</w:t>
      </w:r>
      <w:r>
        <w:t xml:space="preserve">. All deliverables will be produced in accordance with the standards set by the Statistical Center of Iran and aligned with the reporting requirements of the Central Bank of the Islamic Republic of Iran.</w:t>
      </w:r>
    </w:p>
    <w:bookmarkEnd w:id="21"/>
    <w:bookmarkStart w:id="22" w:name="itemized-services-and-fees"/>
    <w:p>
      <w:pPr>
        <w:pStyle w:val="Heading2"/>
      </w:pPr>
      <w:r>
        <w:t xml:space="preserve">2. Itemized Services and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Macroeconomic Forecasting &amp; Scenario Modeling for Iran Tehran (GDP, inflation, exchange rate projections for 2025–2028)</w:t>
            </w:r>
          </w:p>
        </w:tc>
        <w:tc>
          <w:tcPr/>
          <w:p>
            <w:pPr>
              <w:pStyle w:val="Compact"/>
              <w:jc w:val="left"/>
            </w:pPr>
            <w:r>
              <w:t xml:space="preserve">3 months</w:t>
            </w:r>
          </w:p>
        </w:tc>
        <w:tc>
          <w:tcPr/>
          <w:p>
            <w:pPr>
              <w:pStyle w:val="Compact"/>
              <w:jc w:val="left"/>
            </w:pPr>
            <w:r>
              <w:t xml:space="preserve">$8,500 / month</w:t>
            </w:r>
          </w:p>
        </w:tc>
        <w:tc>
          <w:tcPr/>
          <w:p>
            <w:pPr>
              <w:pStyle w:val="Compact"/>
              <w:jc w:val="left"/>
            </w:pPr>
            <w:r>
              <w:t xml:space="preserve">$25,500</w:t>
            </w:r>
          </w:p>
        </w:tc>
      </w:tr>
      <w:tr>
        <w:tc>
          <w:tcPr/>
          <w:p>
            <w:pPr>
              <w:pStyle w:val="Compact"/>
              <w:jc w:val="left"/>
            </w:pPr>
            <w:r>
              <w:t xml:space="preserve">2</w:t>
            </w:r>
          </w:p>
        </w:tc>
        <w:tc>
          <w:tcPr/>
          <w:p>
            <w:pPr>
              <w:pStyle w:val="Compact"/>
              <w:jc w:val="left"/>
            </w:pPr>
            <w:r>
              <w:t xml:space="preserve">Trade Policy Analysis &amp; Sanctions Impact Assessment specific to Tehran's import/export corridors</w:t>
            </w:r>
          </w:p>
        </w:tc>
        <w:tc>
          <w:tcPr/>
          <w:p>
            <w:pPr>
              <w:pStyle w:val="Compact"/>
              <w:jc w:val="left"/>
            </w:pPr>
            <w:r>
              <w:t xml:space="preserve">2 months</w:t>
            </w:r>
          </w:p>
        </w:tc>
        <w:tc>
          <w:tcPr/>
          <w:p>
            <w:pPr>
              <w:pStyle w:val="Compact"/>
              <w:jc w:val="left"/>
            </w:pPr>
            <w:r>
              <w:t xml:space="preserve">$7,200 / month</w:t>
            </w:r>
          </w:p>
        </w:tc>
        <w:tc>
          <w:tcPr/>
          <w:p>
            <w:pPr>
              <w:pStyle w:val="Compact"/>
              <w:jc w:val="left"/>
            </w:pPr>
            <w:r>
              <w:t xml:space="preserve">$14,400</w:t>
            </w:r>
          </w:p>
        </w:tc>
      </w:tr>
      <w:tr>
        <w:tc>
          <w:tcPr/>
          <w:p>
            <w:pPr>
              <w:pStyle w:val="Compact"/>
              <w:jc w:val="left"/>
            </w:pPr>
            <w:r>
              <w:t xml:space="preserve">3</w:t>
            </w:r>
          </w:p>
        </w:tc>
        <w:tc>
          <w:tcPr/>
          <w:p>
            <w:pPr>
              <w:pStyle w:val="Compact"/>
              <w:jc w:val="left"/>
            </w:pPr>
            <w:r>
              <w:t xml:space="preserve">Fiscal Policy Review &amp; Tax Revenue Optimization Advisory for municipal and provincial budgets in Iran Tehran</w:t>
            </w:r>
          </w:p>
        </w:tc>
        <w:tc>
          <w:tcPr/>
          <w:p>
            <w:pPr>
              <w:pStyle w:val="Compact"/>
              <w:jc w:val="left"/>
            </w:pPr>
            <w:r>
              <w:t xml:space="preserve">1 month</w:t>
            </w:r>
          </w:p>
        </w:tc>
        <w:tc>
          <w:tcPr/>
          <w:p>
            <w:pPr>
              <w:pStyle w:val="Compact"/>
              <w:jc w:val="left"/>
            </w:pPr>
            <w:r>
              <w:t xml:space="preserve">$9,000 / month</w:t>
            </w:r>
          </w:p>
        </w:tc>
        <w:tc>
          <w:tcPr/>
          <w:p>
            <w:pPr>
              <w:pStyle w:val="Compact"/>
              <w:jc w:val="left"/>
            </w:pPr>
            <w:r>
              <w:t xml:space="preserve">$9,000</w:t>
            </w:r>
          </w:p>
        </w:tc>
      </w:tr>
      <w:tr>
        <w:tc>
          <w:tcPr/>
          <w:p>
            <w:pPr>
              <w:pStyle w:val="Compact"/>
              <w:jc w:val="left"/>
            </w:pPr>
            <w:r>
              <w:t xml:space="preserve">4</w:t>
            </w:r>
          </w:p>
        </w:tc>
        <w:tc>
          <w:tcPr/>
          <w:p>
            <w:pPr>
              <w:pStyle w:val="Compact"/>
              <w:jc w:val="left"/>
            </w:pPr>
            <w:r>
              <w:t xml:space="preserve">Quarterly Economic Intelligence Reports (4 reports per year) covering Tehran labor markets, energy sector, and industrial output</w:t>
            </w:r>
          </w:p>
        </w:tc>
        <w:tc>
          <w:tcPr/>
          <w:p>
            <w:pPr>
              <w:pStyle w:val="Compact"/>
              <w:jc w:val="left"/>
            </w:pPr>
            <w:r>
              <w:t xml:space="preserve">12 months</w:t>
            </w:r>
          </w:p>
        </w:tc>
        <w:tc>
          <w:tcPr/>
          <w:p>
            <w:pPr>
              <w:pStyle w:val="Compact"/>
              <w:jc w:val="left"/>
            </w:pPr>
            <w:r>
              <w:t xml:space="preserve">$3,200 / report</w:t>
            </w:r>
          </w:p>
        </w:tc>
        <w:tc>
          <w:tcPr/>
          <w:p>
            <w:pPr>
              <w:pStyle w:val="Compact"/>
              <w:jc w:val="left"/>
            </w:pPr>
            <w:r>
              <w:t xml:space="preserve">$12,800</w:t>
            </w:r>
          </w:p>
        </w:tc>
      </w:tr>
      <w:tr>
        <w:tc>
          <w:tcPr/>
          <w:p>
            <w:pPr>
              <w:pStyle w:val="Compact"/>
              <w:jc w:val="left"/>
            </w:pPr>
            <w:r>
              <w:t xml:space="preserve">5</w:t>
            </w:r>
          </w:p>
        </w:tc>
        <w:tc>
          <w:tcPr/>
          <w:p>
            <w:pPr>
              <w:pStyle w:val="Compact"/>
              <w:jc w:val="left"/>
            </w:pPr>
            <w:r>
              <w:t xml:space="preserve">On-site Consultation &amp; Stakeholder Briefings in Tehran (up to 8 sessions per quarter)</w:t>
            </w:r>
          </w:p>
        </w:tc>
        <w:tc>
          <w:tcPr/>
          <w:p>
            <w:pPr>
              <w:pStyle w:val="Compact"/>
              <w:jc w:val="left"/>
            </w:pPr>
            <w:r>
              <w:t xml:space="preserve">12 months</w:t>
            </w:r>
          </w:p>
        </w:tc>
        <w:tc>
          <w:tcPr/>
          <w:p>
            <w:pPr>
              <w:pStyle w:val="Compact"/>
              <w:jc w:val="left"/>
            </w:pPr>
            <w:r>
              <w:t xml:space="preserve">$450 / session</w:t>
            </w:r>
          </w:p>
        </w:tc>
        <w:tc>
          <w:tcPr/>
          <w:p>
            <w:pPr>
              <w:pStyle w:val="Compact"/>
              <w:jc w:val="left"/>
            </w:pPr>
            <w:r>
              <w:t xml:space="preserve">$14,400</w:t>
            </w:r>
          </w:p>
        </w:tc>
      </w:tr>
      <w:tr>
        <w:tc>
          <w:tcPr/>
          <w:p>
            <w:pPr>
              <w:pStyle w:val="Compact"/>
              <w:jc w:val="left"/>
            </w:pPr>
            <w:r>
              <w:t xml:space="preserve">6</w:t>
            </w:r>
          </w:p>
        </w:tc>
        <w:tc>
          <w:tcPr/>
          <w:p>
            <w:pPr>
              <w:pStyle w:val="Compact"/>
              <w:jc w:val="left"/>
            </w:pPr>
            <w:r>
              <w:t xml:space="preserve">Ad-hoc Economic Advisory &amp; Crisis Response (up to 40 hours per year)</w:t>
            </w:r>
          </w:p>
        </w:tc>
        <w:tc>
          <w:tcPr/>
          <w:p>
            <w:pPr>
              <w:pStyle w:val="Compact"/>
              <w:jc w:val="left"/>
            </w:pPr>
            <w:r>
              <w:t xml:space="preserve">12 months</w:t>
            </w:r>
          </w:p>
        </w:tc>
        <w:tc>
          <w:tcPr/>
          <w:p>
            <w:pPr>
              <w:pStyle w:val="Compact"/>
              <w:jc w:val="left"/>
            </w:pPr>
            <w:r>
              <w:t xml:space="preserve">$180 / hour</w:t>
            </w:r>
          </w:p>
        </w:tc>
        <w:tc>
          <w:tcPr/>
          <w:p>
            <w:pPr>
              <w:pStyle w:val="Compact"/>
              <w:jc w:val="left"/>
            </w:pPr>
            <w:r>
              <w:t xml:space="preserve">$7,200</w:t>
            </w:r>
          </w:p>
        </w:tc>
      </w:tr>
      <w:tr>
        <w:tc>
          <w:tcPr/>
          <w:p>
            <w:pPr>
              <w:pStyle w:val="Compact"/>
              <w:jc w:val="left"/>
            </w:pPr>
            <w:r>
              <w:t xml:space="preserve">7</w:t>
            </w:r>
          </w:p>
        </w:tc>
        <w:tc>
          <w:tcPr/>
          <w:p>
            <w:pPr>
              <w:pStyle w:val="Compact"/>
              <w:jc w:val="left"/>
            </w:pPr>
            <w:r>
              <w:t xml:space="preserve">Travel, Accommodation &amp; Local Logistics within Iran Tehran</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$4,500</w:t>
            </w:r>
          </w:p>
        </w:tc>
      </w:tr>
      <w:tr>
        <w:tc>
          <w:tcPr>
            <w:gridSpan w:val="4"/>
          </w:tcPr>
          <w:p>
            <w:pPr>
              <w:pStyle w:val="Compact"/>
              <w:jc w:val="right"/>
            </w:pPr>
            <w:r>
              <w:t xml:space="preserve">TOTAL ESTIMATED COST (12-Month Engagement):</w:t>
            </w:r>
          </w:p>
        </w:tc>
        <w:tc>
          <w:tcPr/>
          <w:p>
            <w:pPr>
              <w:pStyle w:val="Compact"/>
              <w:jc w:val="left"/>
            </w:pPr>
            <w:r>
              <w:t xml:space="preserve">$87,800</w:t>
            </w:r>
          </w:p>
        </w:tc>
      </w:tr>
    </w:tbl>
    <w:bookmarkEnd w:id="22"/>
    <w:bookmarkStart w:id="23" w:name="deliverables-and-reporting"/>
    <w:p>
      <w:pPr>
        <w:pStyle w:val="Heading2"/>
      </w:pPr>
      <w:r>
        <w:t xml:space="preserve">3. Deliverables and Reporting</w:t>
      </w:r>
    </w:p>
    <w:p>
      <w:pPr>
        <w:pStyle w:val="FirstParagraph"/>
      </w:pPr>
      <w:r>
        <w:t xml:space="preserve">The</w:t>
      </w:r>
      <w:r>
        <w:t xml:space="preserve"> </w:t>
      </w:r>
      <w:r>
        <w:t xml:space="preserve">Economist</w:t>
      </w:r>
      <w:r>
        <w:t xml:space="preserve"> </w:t>
      </w:r>
      <w:r>
        <w:t xml:space="preserve">retained under this</w:t>
      </w:r>
      <w:r>
        <w:t xml:space="preserve"> </w:t>
      </w:r>
      <w:r>
        <w:t xml:space="preserve">Quotation Estimate</w:t>
      </w:r>
      <w:r>
        <w:t xml:space="preserve"> </w:t>
      </w:r>
      <w:r>
        <w:t xml:space="preserve">shall deliver the following to the client on a recurring basis:</w:t>
      </w:r>
    </w:p>
    <w:p>
      <w:pPr>
        <w:numPr>
          <w:ilvl w:val="0"/>
          <w:numId w:val="1001"/>
        </w:numPr>
        <w:pStyle w:val="Compact"/>
      </w:pPr>
      <w:r>
        <w:t xml:space="preserve">Monthly macroeconomic dashboard covering key indicators for</w:t>
      </w:r>
      <w:r>
        <w:t xml:space="preserve"> </w:t>
      </w:r>
      <w:r>
        <w:t xml:space="preserve">Iran Tehran</w:t>
      </w:r>
      <w:r>
        <w:t xml:space="preserve">, including CPI, unemployment rate, industrial production index, and foreign exchange reserves.</w:t>
      </w:r>
    </w:p>
    <w:p>
      <w:pPr>
        <w:numPr>
          <w:ilvl w:val="0"/>
          <w:numId w:val="1001"/>
        </w:numPr>
        <w:pStyle w:val="Compact"/>
      </w:pPr>
      <w:r>
        <w:t xml:space="preserve">Quarterly in-depth research papers (minimum 25 pages each) addressing structural economic issues relevant to the Tehran business environment.</w:t>
      </w:r>
    </w:p>
    <w:p>
      <w:pPr>
        <w:numPr>
          <w:ilvl w:val="0"/>
          <w:numId w:val="1001"/>
        </w:numPr>
        <w:pStyle w:val="Compact"/>
      </w:pPr>
      <w:r>
        <w:t xml:space="preserve">Annual comprehensive economic outlook report providing 3-year forward projections for the Iranian economy with specific emphasis on Tehran's role as the nation's commercial and financial hub.</w:t>
      </w:r>
    </w:p>
    <w:p>
      <w:pPr>
        <w:numPr>
          <w:ilvl w:val="0"/>
          <w:numId w:val="1001"/>
        </w:numPr>
        <w:pStyle w:val="Compact"/>
      </w:pPr>
      <w:r>
        <w:t xml:space="preserve">Real-time advisory memos (within 48 hours of request) addressing urgent economic developments, regulatory changes, or market disruptions affecting operations in</w:t>
      </w:r>
      <w:r>
        <w:t xml:space="preserve"> </w:t>
      </w:r>
      <w:r>
        <w:t xml:space="preserve">Iran Tehran</w:t>
      </w:r>
      <w:r>
        <w:t xml:space="preserve">.</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Schedule:</w:t>
      </w:r>
      <w:r>
        <w:t xml:space="preserve"> </w:t>
      </w:r>
      <w:r>
        <w:t xml:space="preserve">30% advance upon acceptance of this</w:t>
      </w:r>
      <w:r>
        <w:t xml:space="preserve"> </w:t>
      </w:r>
      <w:r>
        <w:t xml:space="preserve">Quotation Estimate</w:t>
      </w:r>
      <w:r>
        <w:t xml:space="preserve">; 40% upon completion of the first six (6) months; 30% upon successful completion of the full twelve-month engagement. All payments shall be made via wire transfer to the designated account of Meridian Economic Advisory Group, Tehran, Iran.</w:t>
      </w:r>
    </w:p>
    <w:p>
      <w:pPr>
        <w:numPr>
          <w:ilvl w:val="0"/>
          <w:numId w:val="1002"/>
        </w:numPr>
        <w:pStyle w:val="Compact"/>
      </w:pPr>
      <w:r>
        <w:rPr>
          <w:bCs/>
          <w:b/>
        </w:rPr>
        <w:t xml:space="preserve">Confidentiality:</w:t>
      </w:r>
      <w:r>
        <w:t xml:space="preserve"> </w:t>
      </w:r>
      <w:r>
        <w:t xml:space="preserve">All data, models, and analyses produced by the</w:t>
      </w:r>
      <w:r>
        <w:t xml:space="preserve"> </w:t>
      </w:r>
      <w:r>
        <w:t xml:space="preserve">Economist</w:t>
      </w:r>
      <w:r>
        <w:t xml:space="preserve"> </w:t>
      </w:r>
      <w:r>
        <w:t xml:space="preserve">under this engagement are the exclusive property of the client. No portion of the work shall be disclosed to third parties without written consent, in compliance with Iranian commercial confidentiality law.</w:t>
      </w:r>
    </w:p>
    <w:p>
      <w:pPr>
        <w:numPr>
          <w:ilvl w:val="0"/>
          <w:numId w:val="1002"/>
        </w:numPr>
        <w:pStyle w:val="Compact"/>
      </w:pPr>
      <w:r>
        <w:rPr>
          <w:bCs/>
          <w:b/>
        </w:rPr>
        <w:t xml:space="preserve">Force Majeure:</w:t>
      </w:r>
      <w:r>
        <w:t xml:space="preserve"> </w:t>
      </w:r>
      <w:r>
        <w:t xml:space="preserve">Neither party shall be liable for delays or non-performance resulting from events beyond reasonable control, including but not limited to changes in international sanctions regimes affecting</w:t>
      </w:r>
      <w:r>
        <w:t xml:space="preserve"> </w:t>
      </w:r>
      <w:r>
        <w:t xml:space="preserve">Iran Tehran</w:t>
      </w:r>
      <w:r>
        <w:t xml:space="preserve">, natural disasters, or government-imposed restrictions.</w:t>
      </w:r>
    </w:p>
    <w:p>
      <w:pPr>
        <w:numPr>
          <w:ilvl w:val="0"/>
          <w:numId w:val="1002"/>
        </w:numPr>
        <w:pStyle w:val="Compact"/>
      </w:pPr>
      <w:r>
        <w:rPr>
          <w:bCs/>
          <w:b/>
        </w:rPr>
        <w:t xml:space="preserve">Termination:</w:t>
      </w:r>
      <w:r>
        <w:t xml:space="preserve"> </w:t>
      </w:r>
      <w:r>
        <w:t xml:space="preserve">Either party may terminate this engagement with thirty (30) days' written notice. In the event of early termination, the client shall be invoiced for all services rendered up to the termination date as outlined in this</w:t>
      </w:r>
      <w:r>
        <w:t xml:space="preserve"> </w:t>
      </w:r>
      <w:r>
        <w:t xml:space="preserve">Quotation Estimate</w:t>
      </w:r>
      <w:r>
        <w:t xml:space="preserve">.</w:t>
      </w:r>
    </w:p>
    <w:p>
      <w:pPr>
        <w:numPr>
          <w:ilvl w:val="0"/>
          <w:numId w:val="1002"/>
        </w:numPr>
        <w:pStyle w:val="Compact"/>
      </w:pPr>
      <w:r>
        <w:rPr>
          <w:bCs/>
          <w:b/>
        </w:rPr>
        <w:t xml:space="preserve">Compliance:</w:t>
      </w:r>
      <w:r>
        <w:t xml:space="preserve"> </w:t>
      </w:r>
      <w:r>
        <w:t xml:space="preserve">The</w:t>
      </w:r>
      <w:r>
        <w:t xml:space="preserve"> </w:t>
      </w:r>
      <w:r>
        <w:t xml:space="preserve">Economist</w:t>
      </w:r>
      <w:r>
        <w:t xml:space="preserve"> </w:t>
      </w:r>
      <w:r>
        <w:t xml:space="preserve">shall conduct all activities in full compliance with the laws of the Islamic Republic of Iran, including the regulations of the Central Bank of Iran, the Ministry of Economic Affairs and Finance, and all applicable provisions governing economic research and advisory services in</w:t>
      </w:r>
      <w:r>
        <w:t xml:space="preserve"> </w:t>
      </w:r>
      <w:r>
        <w:t xml:space="preserve">Iran Tehran</w:t>
      </w:r>
      <w:r>
        <w:t xml:space="preserv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arbitration in Tehran, Iran, in accordance with the rules of the Tehran International Arbitration Center.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constitutes a binding offer for the engagement of the</w:t>
      </w:r>
      <w:r>
        <w:t xml:space="preserve"> </w:t>
      </w:r>
      <w:r>
        <w:t xml:space="preserve">Economist</w:t>
      </w:r>
      <w:r>
        <w:t xml:space="preserve"> </w:t>
      </w:r>
      <w:r>
        <w:t xml:space="preserve">as described herein, and that all terms pertaining to services rendered in</w:t>
      </w:r>
      <w:r>
        <w:t xml:space="preserve"> </w:t>
      </w:r>
      <w:r>
        <w:t xml:space="preserve">Iran Tehran</w:t>
      </w:r>
      <w:r>
        <w:t xml:space="preserve"> </w:t>
      </w:r>
      <w:r>
        <w:t xml:space="preserve">are understood and accepted. This document, once countersigned, shall serve as the primary reference for the duration of the engagement.</w:t>
      </w:r>
    </w:p>
    <w:p>
      <w:pPr>
        <w:pStyle w:val="BodyText"/>
      </w:pPr>
      <w:r>
        <w:rPr>
          <w:bCs/>
          <w:b/>
        </w:rPr>
        <w:t xml:space="preserve">For Meridian Economic Advisory Group</w:t>
      </w:r>
    </w:p>
    <w:p>
      <w:pPr>
        <w:pStyle w:val="BodyText"/>
      </w:pPr>
      <w:r>
        <w:t xml:space="preserve">Name: Dr. Farhad Rostami</w:t>
      </w:r>
      <w:r>
        <w:br/>
      </w:r>
      <w:r>
        <w:t xml:space="preserve">Title: Chief Economist &amp; Managing Director</w:t>
      </w:r>
      <w:r>
        <w:br/>
      </w:r>
      <w:r>
        <w:t xml:space="preserve">Signature &amp; Date: _________________________</w:t>
      </w:r>
    </w:p>
    <w:p>
      <w:pPr>
        <w:pStyle w:val="BodyText"/>
      </w:pPr>
      <w:r>
        <w:rPr>
          <w:bCs/>
          <w:b/>
        </w:rPr>
        <w:t xml:space="preserve">For the Client Organization</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is valid for 30 days from the date of issue. All rates are subject to revision upon renewal. This document was prepared for use in Iran Tehran and is governed by the laws of the Islamic Republic of Iran. © 2025 Meridian Economic Advisory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Iran Tehran</dc:title>
  <dc:creator/>
  <dc:language>en</dc:language>
  <cp:keywords/>
  <dcterms:created xsi:type="dcterms:W3CDTF">2026-10-10T06:58:23Z</dcterms:created>
  <dcterms:modified xsi:type="dcterms:W3CDTF">2026-10-10T06:58:23Z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