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Economist</w:t>
      </w:r>
      <w:r>
        <w:t xml:space="preserve"> </w:t>
      </w:r>
      <w:r>
        <w:t xml:space="preserve">Services</w:t>
      </w:r>
      <w:r>
        <w:t xml:space="preserve"> </w:t>
      </w:r>
      <w:r>
        <w:t xml:space="preserve">-</w:t>
      </w:r>
      <w:r>
        <w:t xml:space="preserve"> </w:t>
      </w:r>
      <w:r>
        <w:t xml:space="preserve">Israel</w:t>
      </w:r>
      <w:r>
        <w:t xml:space="preserve"> </w:t>
      </w:r>
      <w:r>
        <w:t xml:space="preserve">Tel</w:t>
      </w:r>
      <w:r>
        <w:t xml:space="preserve"> </w:t>
      </w:r>
      <w:r>
        <w:t xml:space="preserve">Aviv</w:t>
      </w:r>
    </w:p>
    <w:bookmarkStart w:id="20" w:name="quotation-estimate"/>
    <w:p>
      <w:pPr>
        <w:pStyle w:val="Heading1"/>
      </w:pPr>
      <w:r>
        <w:t xml:space="preserve">QUOTATION ESTIMATE</w:t>
      </w:r>
    </w:p>
    <w:p>
      <w:pPr>
        <w:pStyle w:val="FirstParagraph"/>
      </w:pPr>
      <w:r>
        <w:t xml:space="preserve">Professional Economist Engagement Services</w:t>
      </w:r>
    </w:p>
    <w:p>
      <w:pPr>
        <w:pStyle w:val="BodyText"/>
      </w:pPr>
      <w:r>
        <w:t xml:space="preserve">Strategic Economic Advisory &amp; Consulting</w:t>
      </w:r>
    </w:p>
    <w:p>
      <w:pPr>
        <w:pStyle w:val="BodyText"/>
      </w:pPr>
      <w:r>
        <w:t xml:space="preserve">12 Rothschild Boulevard, Tel Aviv-Yafo, Israel 64921</w:t>
      </w:r>
    </w:p>
    <w:p>
      <w:pPr>
        <w:pStyle w:val="BodyText"/>
      </w:pPr>
      <w:r>
        <w:t xml:space="preserve">Tel: +972-3-555-0142 | Email: quotes@economist-tlv.co.il</w:t>
      </w:r>
    </w:p>
    <w:bookmarkEnd w:id="20"/>
    <w:p>
      <w:pPr>
        <w:pStyle w:val="BodyText"/>
      </w:pPr>
      <w:r>
        <w:rPr>
          <w:bCs/>
          <w:b/>
        </w:rPr>
        <w:t xml:space="preserve">Quotation Estimate No.:</w:t>
      </w:r>
      <w:r>
        <w:t xml:space="preserve"> </w:t>
      </w:r>
      <w:r>
        <w:t xml:space="preserve">QE-2025-TLV-0487</w:t>
      </w:r>
      <w:r>
        <w:br/>
      </w:r>
      <w:r>
        <w:rPr>
          <w:bCs/>
          <w:b/>
        </w:rPr>
        <w:t xml:space="preserve">Date Issued:</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Prepared For:</w:t>
      </w:r>
      <w:r>
        <w:br/>
      </w:r>
      <w:r>
        <w:t xml:space="preserve">Meridian Capital Group Ltd.</w:t>
      </w:r>
      <w:r>
        <w:br/>
      </w:r>
      <w:r>
        <w:t xml:space="preserve">45 Allenby Street, Tel Aviv, Israel</w:t>
      </w:r>
      <w:r>
        <w:br/>
      </w:r>
      <w:r>
        <w:t xml:space="preserve">Attn: Mr. David Rosen, Chief Financial Officer</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Levant Economic Advisory Partners (LEAP) in response to the formal request submitted by Meridian Capital Group Ltd. for the engagement of a senior</w:t>
      </w:r>
      <w:r>
        <w:t xml:space="preserve"> </w:t>
      </w:r>
      <w:r>
        <w:t xml:space="preserve">Economist</w:t>
      </w:r>
      <w:r>
        <w:t xml:space="preserve"> </w:t>
      </w:r>
      <w:r>
        <w:t xml:space="preserve">to provide comprehensive economic analysis, market forecasting, and strategic advisory services within the</w:t>
      </w:r>
      <w:r>
        <w:t xml:space="preserve"> </w:t>
      </w:r>
      <w:r>
        <w:t xml:space="preserve">Israel Tel Aviv</w:t>
      </w:r>
      <w:r>
        <w:t xml:space="preserve"> </w:t>
      </w:r>
      <w:r>
        <w:t xml:space="preserve">metropolitan region and the broader Israeli economy. This document outlines the full scope of services, associated professional fees, payment schedules, and contractual terms governing the proposed engagement.</w:t>
      </w:r>
    </w:p>
    <w:bookmarkEnd w:id="21"/>
    <w:bookmarkStart w:id="22" w:name="scope-of-services-economist-engagement"/>
    <w:p>
      <w:pPr>
        <w:pStyle w:val="Heading2"/>
      </w:pPr>
      <w:r>
        <w:t xml:space="preserve">2. Scope of Services – Economist Engagement</w:t>
      </w:r>
    </w:p>
    <w:p>
      <w:pPr>
        <w:pStyle w:val="FirstParagraph"/>
      </w:pPr>
      <w:r>
        <w:t xml:space="preserve">The</w:t>
      </w:r>
      <w:r>
        <w:t xml:space="preserve"> </w:t>
      </w:r>
      <w:r>
        <w:t xml:space="preserve">Economist</w:t>
      </w:r>
      <w:r>
        <w:t xml:space="preserve"> </w:t>
      </w:r>
      <w:r>
        <w:t xml:space="preserve">to be assigned under this</w:t>
      </w:r>
      <w:r>
        <w:t xml:space="preserve"> </w:t>
      </w:r>
      <w:r>
        <w:t xml:space="preserve">Quotation Estimate</w:t>
      </w:r>
      <w:r>
        <w:t xml:space="preserve"> </w:t>
      </w:r>
      <w:r>
        <w:t xml:space="preserve">will deliver the following services tailored to the operational and strategic needs of the client in</w:t>
      </w:r>
      <w:r>
        <w:t xml:space="preserve"> </w:t>
      </w:r>
      <w:r>
        <w:t xml:space="preserve">Israel Tel Aviv</w:t>
      </w:r>
      <w:r>
        <w:t xml:space="preserve">:</w:t>
      </w:r>
    </w:p>
    <w:p>
      <w:pPr>
        <w:numPr>
          <w:ilvl w:val="0"/>
          <w:numId w:val="1001"/>
        </w:numPr>
        <w:pStyle w:val="Compact"/>
      </w:pPr>
      <w:r>
        <w:rPr>
          <w:bCs/>
          <w:b/>
        </w:rPr>
        <w:t xml:space="preserve">Macroeconomic Analysis:</w:t>
      </w:r>
      <w:r>
        <w:t xml:space="preserve"> </w:t>
      </w:r>
      <w:r>
        <w:t xml:space="preserve">Quarterly and monthly reports on Israeli GDP growth, inflation trends (CPI), interest rate movements by the Bank of Israel, and fiscal policy developments relevant to the Tel Aviv business corridor.</w:t>
      </w:r>
    </w:p>
    <w:p>
      <w:pPr>
        <w:numPr>
          <w:ilvl w:val="0"/>
          <w:numId w:val="1001"/>
        </w:numPr>
        <w:pStyle w:val="Compact"/>
      </w:pPr>
      <w:r>
        <w:rPr>
          <w:bCs/>
          <w:b/>
        </w:rPr>
        <w:t xml:space="preserve">Market Forecasting:</w:t>
      </w:r>
      <w:r>
        <w:t xml:space="preserve"> </w:t>
      </w:r>
      <w:r>
        <w:t xml:space="preserve">Detailed projections for the Israeli real estate sector, technology industry, and financial markets operating out of Tel Aviv, including risk-adjusted scenario modeling.</w:t>
      </w:r>
    </w:p>
    <w:p>
      <w:pPr>
        <w:numPr>
          <w:ilvl w:val="0"/>
          <w:numId w:val="1001"/>
        </w:numPr>
        <w:pStyle w:val="Compact"/>
      </w:pPr>
      <w:r>
        <w:rPr>
          <w:bCs/>
          <w:b/>
        </w:rPr>
        <w:t xml:space="preserve">Regulatory &amp; Policy Advisory:</w:t>
      </w:r>
      <w:r>
        <w:t xml:space="preserve"> </w:t>
      </w:r>
      <w:r>
        <w:t xml:space="preserve">Monitoring and interpretation of new economic legislation, tax reforms, and trade agreements affecting businesses registered in Israel, with particular focus on Tel Aviv's role as the nation's financial and commercial hub.</w:t>
      </w:r>
    </w:p>
    <w:p>
      <w:pPr>
        <w:numPr>
          <w:ilvl w:val="0"/>
          <w:numId w:val="1001"/>
        </w:numPr>
        <w:pStyle w:val="Compact"/>
      </w:pPr>
      <w:r>
        <w:rPr>
          <w:bCs/>
          <w:b/>
        </w:rPr>
        <w:t xml:space="preserve">Competitive Intelligence:</w:t>
      </w:r>
      <w:r>
        <w:t xml:space="preserve"> </w:t>
      </w:r>
      <w:r>
        <w:t xml:space="preserve">Analysis of regional economic competitors, including Dubai, Singapore, and London, to position the client's operations in</w:t>
      </w:r>
      <w:r>
        <w:t xml:space="preserve"> </w:t>
      </w:r>
      <w:r>
        <w:t xml:space="preserve">Israel Tel Aviv</w:t>
      </w:r>
      <w:r>
        <w:t xml:space="preserve"> </w:t>
      </w:r>
      <w:r>
        <w:t xml:space="preserve">advantageously within global markets.</w:t>
      </w:r>
    </w:p>
    <w:p>
      <w:pPr>
        <w:numPr>
          <w:ilvl w:val="0"/>
          <w:numId w:val="1001"/>
        </w:numPr>
        <w:pStyle w:val="Compact"/>
      </w:pPr>
      <w:r>
        <w:rPr>
          <w:bCs/>
          <w:b/>
        </w:rPr>
        <w:t xml:space="preserve">Board-Level Presentations:</w:t>
      </w:r>
      <w:r>
        <w:t xml:space="preserve"> </w:t>
      </w:r>
      <w:r>
        <w:t xml:space="preserve">Two (2) quarterly presentations to the client's board of directors, delivered in person at the Tel Aviv office, summarizing key economic indicators and strategic recommendations.</w:t>
      </w:r>
    </w:p>
    <w:p>
      <w:pPr>
        <w:numPr>
          <w:ilvl w:val="0"/>
          <w:numId w:val="1001"/>
        </w:numPr>
        <w:pStyle w:val="Compact"/>
      </w:pPr>
      <w:r>
        <w:rPr>
          <w:bCs/>
          <w:b/>
        </w:rPr>
        <w:t xml:space="preserve">Ad-Hoc Consultation:</w:t>
      </w:r>
      <w:r>
        <w:t xml:space="preserve"> </w:t>
      </w:r>
      <w:r>
        <w:t xml:space="preserve">Up to 20 hours per month of direct consultation with the</w:t>
      </w:r>
      <w:r>
        <w:t xml:space="preserve"> </w:t>
      </w:r>
      <w:r>
        <w:t xml:space="preserve">Economist</w:t>
      </w:r>
      <w:r>
        <w:t xml:space="preserve"> </w:t>
      </w:r>
      <w:r>
        <w:t xml:space="preserve">via telephone, video conference, or in-person meetings in Tel Aviv.</w:t>
      </w:r>
    </w:p>
    <w:bookmarkEnd w:id="22"/>
    <w:bookmarkStart w:id="23" w:name="professional-fees-and-rate-breakdown"/>
    <w:p>
      <w:pPr>
        <w:pStyle w:val="Heading2"/>
      </w:pPr>
      <w:r>
        <w:t xml:space="preserve">3. Professional Fees and Rate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Component</w:t>
            </w:r>
          </w:p>
        </w:tc>
        <w:tc>
          <w:tcPr/>
          <w:p>
            <w:pPr>
              <w:pStyle w:val="Compact"/>
              <w:jc w:val="left"/>
            </w:pPr>
            <w:r>
              <w:t xml:space="preserve">Duration / Frequency</w:t>
            </w:r>
          </w:p>
        </w:tc>
        <w:tc>
          <w:tcPr/>
          <w:p>
            <w:pPr>
              <w:pStyle w:val="Compact"/>
              <w:jc w:val="left"/>
            </w:pPr>
            <w:r>
              <w:t xml:space="preserve">Rate (ILS)</w:t>
            </w:r>
          </w:p>
        </w:tc>
        <w:tc>
          <w:tcPr/>
          <w:p>
            <w:pPr>
              <w:pStyle w:val="Compact"/>
              <w:jc w:val="left"/>
            </w:pPr>
            <w:r>
              <w:t xml:space="preserve">Subtotal (ILS)</w:t>
            </w:r>
          </w:p>
        </w:tc>
      </w:tr>
      <w:tr>
        <w:tc>
          <w:tcPr/>
          <w:p>
            <w:pPr>
              <w:pStyle w:val="Compact"/>
              <w:jc w:val="left"/>
            </w:pPr>
            <w:r>
              <w:t xml:space="preserve">Senior Economist – Monthly Retainer</w:t>
            </w:r>
          </w:p>
        </w:tc>
        <w:tc>
          <w:tcPr/>
          <w:p>
            <w:pPr>
              <w:pStyle w:val="Compact"/>
              <w:jc w:val="left"/>
            </w:pPr>
            <w:r>
              <w:t xml:space="preserve">12 months</w:t>
            </w:r>
          </w:p>
        </w:tc>
        <w:tc>
          <w:tcPr/>
          <w:p>
            <w:pPr>
              <w:pStyle w:val="Compact"/>
              <w:jc w:val="left"/>
            </w:pPr>
            <w:r>
              <w:t xml:space="preserve">48,000 / month</w:t>
            </w:r>
          </w:p>
        </w:tc>
        <w:tc>
          <w:tcPr/>
          <w:p>
            <w:pPr>
              <w:pStyle w:val="Compact"/>
              <w:jc w:val="left"/>
            </w:pPr>
            <w:r>
              <w:t xml:space="preserve">576,000</w:t>
            </w:r>
          </w:p>
        </w:tc>
      </w:tr>
      <w:tr>
        <w:tc>
          <w:tcPr/>
          <w:p>
            <w:pPr>
              <w:pStyle w:val="Compact"/>
              <w:jc w:val="left"/>
            </w:pPr>
            <w:r>
              <w:t xml:space="preserve">Macroeconomic &amp; Market Reports</w:t>
            </w:r>
          </w:p>
        </w:tc>
        <w:tc>
          <w:tcPr/>
          <w:p>
            <w:pPr>
              <w:pStyle w:val="Compact"/>
              <w:jc w:val="left"/>
            </w:pPr>
            <w:r>
              <w:t xml:space="preserve">12 reports (monthly)</w:t>
            </w:r>
          </w:p>
        </w:tc>
        <w:tc>
          <w:tcPr/>
          <w:p>
            <w:pPr>
              <w:pStyle w:val="Compact"/>
              <w:jc w:val="left"/>
            </w:pPr>
            <w:r>
              <w:t xml:space="preserve">7,500 / report</w:t>
            </w:r>
          </w:p>
        </w:tc>
        <w:tc>
          <w:tcPr/>
          <w:p>
            <w:pPr>
              <w:pStyle w:val="Compact"/>
              <w:jc w:val="left"/>
            </w:pPr>
            <w:r>
              <w:t xml:space="preserve">90,000</w:t>
            </w:r>
          </w:p>
        </w:tc>
      </w:tr>
      <w:tr>
        <w:tc>
          <w:tcPr/>
          <w:p>
            <w:pPr>
              <w:pStyle w:val="Compact"/>
              <w:jc w:val="left"/>
            </w:pPr>
            <w:r>
              <w:t xml:space="preserve">Board Presentations (in-person, Tel Aviv)</w:t>
            </w:r>
          </w:p>
        </w:tc>
        <w:tc>
          <w:tcPr/>
          <w:p>
            <w:pPr>
              <w:pStyle w:val="Compact"/>
              <w:jc w:val="left"/>
            </w:pPr>
            <w:r>
              <w:t xml:space="preserve">4 sessions (quarterly)</w:t>
            </w:r>
          </w:p>
        </w:tc>
        <w:tc>
          <w:tcPr/>
          <w:p>
            <w:pPr>
              <w:pStyle w:val="Compact"/>
              <w:jc w:val="left"/>
            </w:pPr>
            <w:r>
              <w:t xml:space="preserve">12,000 / session</w:t>
            </w:r>
          </w:p>
        </w:tc>
        <w:tc>
          <w:tcPr/>
          <w:p>
            <w:pPr>
              <w:pStyle w:val="Compact"/>
              <w:jc w:val="left"/>
            </w:pPr>
            <w:r>
              <w:t xml:space="preserve">48,000</w:t>
            </w:r>
          </w:p>
        </w:tc>
      </w:tr>
      <w:tr>
        <w:tc>
          <w:tcPr/>
          <w:p>
            <w:pPr>
              <w:pStyle w:val="Compact"/>
              <w:jc w:val="left"/>
            </w:pPr>
            <w:r>
              <w:t xml:space="preserve">Ad-Hoc Consultation (excess hours)</w:t>
            </w:r>
          </w:p>
        </w:tc>
        <w:tc>
          <w:tcPr/>
          <w:p>
            <w:pPr>
              <w:pStyle w:val="Compact"/>
              <w:jc w:val="left"/>
            </w:pPr>
            <w:r>
              <w:t xml:space="preserve">Up to 100 hrs / year</w:t>
            </w:r>
          </w:p>
        </w:tc>
        <w:tc>
          <w:tcPr/>
          <w:p>
            <w:pPr>
              <w:pStyle w:val="Compact"/>
              <w:jc w:val="left"/>
            </w:pPr>
            <w:r>
              <w:t xml:space="preserve">1,800 / hour</w:t>
            </w:r>
          </w:p>
        </w:tc>
        <w:tc>
          <w:tcPr/>
          <w:p>
            <w:pPr>
              <w:pStyle w:val="Compact"/>
              <w:jc w:val="left"/>
            </w:pPr>
            <w:r>
              <w:t xml:space="preserve">180,000</w:t>
            </w:r>
          </w:p>
        </w:tc>
      </w:tr>
      <w:tr>
        <w:tc>
          <w:tcPr/>
          <w:p>
            <w:pPr>
              <w:pStyle w:val="Compact"/>
              <w:jc w:val="left"/>
            </w:pPr>
            <w:r>
              <w:t xml:space="preserve">Special Project – Tel Aviv Real Estate Sector Deep-Dive</w:t>
            </w:r>
          </w:p>
        </w:tc>
        <w:tc>
          <w:tcPr/>
          <w:p>
            <w:pPr>
              <w:pStyle w:val="Compact"/>
              <w:jc w:val="left"/>
            </w:pPr>
            <w:r>
              <w:t xml:space="preserve">One-time engagement</w:t>
            </w:r>
          </w:p>
        </w:tc>
        <w:tc>
          <w:tcPr/>
          <w:p>
            <w:pPr>
              <w:pStyle w:val="Compact"/>
              <w:jc w:val="left"/>
            </w:pPr>
            <w:r>
              <w:t xml:space="preserve">Flat fee</w:t>
            </w:r>
          </w:p>
        </w:tc>
        <w:tc>
          <w:tcPr/>
          <w:p>
            <w:pPr>
              <w:pStyle w:val="Compact"/>
              <w:jc w:val="left"/>
            </w:pPr>
            <w:r>
              <w:t xml:space="preserve">65,000</w:t>
            </w:r>
          </w:p>
        </w:tc>
      </w:tr>
      <w:tr>
        <w:tc>
          <w:tcPr/>
          <w:p>
            <w:pPr>
              <w:pStyle w:val="Compact"/>
              <w:jc w:val="left"/>
            </w:pPr>
            <w:r>
              <w:t xml:space="preserve">Travel &amp; Local Transportation within Tel Aviv</w:t>
            </w:r>
          </w:p>
        </w:tc>
        <w:tc>
          <w:tcPr/>
          <w:p>
            <w:pPr>
              <w:pStyle w:val="Compact"/>
              <w:jc w:val="left"/>
            </w:pPr>
            <w:r>
              <w:t xml:space="preserve">Annual estimate</w:t>
            </w:r>
          </w:p>
        </w:tc>
        <w:tc>
          <w:tcPr/>
          <w:p>
            <w:pPr>
              <w:pStyle w:val="Compact"/>
              <w:jc w:val="left"/>
            </w:pPr>
            <w:r>
              <w:t xml:space="preserve">Reimbursed at cost</w:t>
            </w:r>
          </w:p>
        </w:tc>
        <w:tc>
          <w:tcPr/>
          <w:p>
            <w:pPr>
              <w:pStyle w:val="Compact"/>
              <w:jc w:val="left"/>
            </w:pPr>
            <w:r>
              <w:t xml:space="preserve">8,000</w:t>
            </w:r>
          </w:p>
        </w:tc>
      </w:tr>
      <w:tr>
        <w:tc>
          <w:tcPr>
            <w:gridSpan w:val="3"/>
          </w:tcPr>
          <w:p>
            <w:pPr>
              <w:pStyle w:val="Compact"/>
              <w:jc w:val="left"/>
            </w:pPr>
            <w:r>
              <w:t xml:space="preserve">TOTAL ESTIMATED ANNUAL FEE (excl. VAT)</w:t>
            </w:r>
          </w:p>
        </w:tc>
        <w:tc>
          <w:tcPr/>
          <w:p>
            <w:pPr>
              <w:pStyle w:val="Compact"/>
              <w:jc w:val="left"/>
            </w:pPr>
            <w:r>
              <w:t xml:space="preserve">967,000</w:t>
            </w:r>
          </w:p>
        </w:tc>
      </w:tr>
      <w:tr>
        <w:tc>
          <w:tcPr>
            <w:gridSpan w:val="3"/>
          </w:tcPr>
          <w:p>
            <w:pPr>
              <w:pStyle w:val="Compact"/>
              <w:jc w:val="left"/>
            </w:pPr>
            <w:r>
              <w:t xml:space="preserve">VAT (18%)</w:t>
            </w:r>
          </w:p>
        </w:tc>
        <w:tc>
          <w:tcPr/>
          <w:p>
            <w:pPr>
              <w:pStyle w:val="Compact"/>
              <w:jc w:val="left"/>
            </w:pPr>
            <w:r>
              <w:t xml:space="preserve">174,060</w:t>
            </w:r>
          </w:p>
        </w:tc>
      </w:tr>
      <w:tr>
        <w:tc>
          <w:tcPr>
            <w:gridSpan w:val="3"/>
          </w:tcPr>
          <w:p>
            <w:pPr>
              <w:pStyle w:val="Compact"/>
              <w:jc w:val="left"/>
            </w:pPr>
            <w:r>
              <w:t xml:space="preserve">GRAND TOTAL (incl. VAT)</w:t>
            </w:r>
          </w:p>
        </w:tc>
        <w:tc>
          <w:tcPr/>
          <w:p>
            <w:pPr>
              <w:pStyle w:val="Compact"/>
              <w:jc w:val="left"/>
            </w:pPr>
            <w:r>
              <w:t xml:space="preserve">1,141,060</w:t>
            </w:r>
          </w:p>
        </w:tc>
      </w:tr>
    </w:tbl>
    <w:p>
      <w:pPr>
        <w:pStyle w:val="BodyText"/>
      </w:pPr>
      <w:r>
        <w:t xml:space="preserve">All rates are quoted in New Israeli Shekels (ILS). This</w:t>
      </w:r>
      <w:r>
        <w:t xml:space="preserve"> </w:t>
      </w:r>
      <w:r>
        <w:t xml:space="preserve">Quotation Estimate</w:t>
      </w:r>
      <w:r>
        <w:t xml:space="preserve"> </w:t>
      </w:r>
      <w:r>
        <w:t xml:space="preserve">is based on current market conditions in</w:t>
      </w:r>
      <w:r>
        <w:t xml:space="preserve"> </w:t>
      </w:r>
      <w:r>
        <w:t xml:space="preserve">Israel Tel Aviv</w:t>
      </w:r>
      <w:r>
        <w:t xml:space="preserve"> </w:t>
      </w:r>
      <w:r>
        <w:t xml:space="preserve">as of June 2025. Rates are subject to annual review in accordance with the Israeli Consumer Price Index (CPI) published by the Central Bureau of Statistics.</w:t>
      </w:r>
    </w:p>
    <w:bookmarkEnd w:id="23"/>
    <w:bookmarkStart w:id="24" w:name="payment-terms"/>
    <w:p>
      <w:pPr>
        <w:pStyle w:val="Heading2"/>
      </w:pPr>
      <w:r>
        <w:t xml:space="preserve">4. Payment Terms</w:t>
      </w:r>
    </w:p>
    <w:p>
      <w:pPr>
        <w:pStyle w:val="FirstParagraph"/>
      </w:pPr>
      <w:r>
        <w:t xml:space="preserve">Payment for services rendered under this</w:t>
      </w:r>
      <w:r>
        <w:t xml:space="preserve"> </w:t>
      </w:r>
      <w:r>
        <w:t xml:space="preserve">Quotation Estimate</w:t>
      </w:r>
      <w:r>
        <w:t xml:space="preserve"> </w:t>
      </w:r>
      <w:r>
        <w:t xml:space="preserve">shall be made via bank transfer to the account of Levant Economic Advisory Partners, Bank Leumi, Tel Aviv branch, within thirty (30) calendar days of invoice issuance. The monthly retainer for the</w:t>
      </w:r>
      <w:r>
        <w:t xml:space="preserve"> </w:t>
      </w:r>
      <w:r>
        <w:t xml:space="preserve">Economist</w:t>
      </w:r>
      <w:r>
        <w:t xml:space="preserve"> </w:t>
      </w:r>
      <w:r>
        <w:t xml:space="preserve">engagement shall be invoiced on the first business day of each month. The special project fee for the Tel Aviv real estate deep-dive shall be invoiced in two equal installments: 50% upon project commencement and 50% upon final delivery of the report.</w:t>
      </w:r>
    </w:p>
    <w:bookmarkEnd w:id="24"/>
    <w:bookmarkStart w:id="25" w:name="terms-and-conditions"/>
    <w:p>
      <w:pPr>
        <w:pStyle w:val="Heading2"/>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days from the date of issue. Upon expiry, all rates and terms must be reconfirmed in writing before any services are commenced.</w:t>
      </w:r>
    </w:p>
    <w:p>
      <w:pPr>
        <w:numPr>
          <w:ilvl w:val="0"/>
          <w:numId w:val="1002"/>
        </w:numPr>
        <w:pStyle w:val="Compact"/>
      </w:pPr>
      <w:r>
        <w:t xml:space="preserve">The</w:t>
      </w:r>
      <w:r>
        <w:t xml:space="preserve"> </w:t>
      </w:r>
      <w:r>
        <w:t xml:space="preserve">Economist</w:t>
      </w:r>
      <w:r>
        <w:t xml:space="preserve"> </w:t>
      </w:r>
      <w:r>
        <w:t xml:space="preserve">assigned to this engagement shall be a chartered professional with a minimum of fifteen (15) years of experience in macroeconomic and financial analysis, with demonstrated expertise in the Israeli economy and the Tel Aviv metropolitan market.</w:t>
      </w:r>
    </w:p>
    <w:p>
      <w:pPr>
        <w:numPr>
          <w:ilvl w:val="0"/>
          <w:numId w:val="1002"/>
        </w:numPr>
        <w:pStyle w:val="Compact"/>
      </w:pPr>
      <w:r>
        <w:t xml:space="preserve">All work product, reports, and analyses produced under this engagement shall remain the exclusive intellectual property of the client, subject to a non-disclosure agreement (NDA) executed prior to commencement of services.</w:t>
      </w:r>
    </w:p>
    <w:p>
      <w:pPr>
        <w:numPr>
          <w:ilvl w:val="0"/>
          <w:numId w:val="1002"/>
        </w:numPr>
        <w:pStyle w:val="Compact"/>
      </w:pPr>
      <w:r>
        <w:t xml:space="preserve">Either party may terminate the engagement with sixty (60) days' written notice. In the event of early termination, the client shall be liable for all fees accrued up to the termination date, plus a termination fee equal to one (1) month's retainer.</w:t>
      </w:r>
    </w:p>
    <w:p>
      <w:pPr>
        <w:numPr>
          <w:ilvl w:val="0"/>
          <w:numId w:val="1002"/>
        </w:numPr>
        <w:pStyle w:val="Compact"/>
      </w:pPr>
      <w:r>
        <w:t xml:space="preserve">This engagement is governed by the laws of the State of Israel. Any disputes arising from this</w:t>
      </w:r>
      <w:r>
        <w:t xml:space="preserve"> </w:t>
      </w:r>
      <w:r>
        <w:t xml:space="preserve">Quotation Estimate</w:t>
      </w:r>
      <w:r>
        <w:t xml:space="preserve"> </w:t>
      </w:r>
      <w:r>
        <w:t xml:space="preserve">or the resulting contract shall be subject to the exclusive jurisdiction of the competent courts in Tel Aviv, Israel.</w:t>
      </w:r>
    </w:p>
    <w:p>
      <w:pPr>
        <w:numPr>
          <w:ilvl w:val="0"/>
          <w:numId w:val="1002"/>
        </w:numPr>
        <w:pStyle w:val="Compact"/>
      </w:pPr>
      <w:r>
        <w:t xml:space="preserve">The</w:t>
      </w:r>
      <w:r>
        <w:t xml:space="preserve"> </w:t>
      </w:r>
      <w:r>
        <w:t xml:space="preserve">Economist</w:t>
      </w:r>
      <w:r>
        <w:t xml:space="preserve"> </w:t>
      </w:r>
      <w:r>
        <w:t xml:space="preserve">shall comply with all applicable Israeli regulations, including the Companies Law, 5759-1999, the Securities Law, 5728-1968, and any relevant guidelines issued by the Israel Securities Authority.</w:t>
      </w:r>
    </w:p>
    <w:p>
      <w:pPr>
        <w:numPr>
          <w:ilvl w:val="0"/>
          <w:numId w:val="1002"/>
        </w:numPr>
        <w:pStyle w:val="Compact"/>
      </w:pPr>
      <w:r>
        <w:t xml:space="preserve">Force majeure events, including but not limited to acts of war, civil unrest, or government-mandated closures affecting operations in</w:t>
      </w:r>
      <w:r>
        <w:t xml:space="preserve"> </w:t>
      </w:r>
      <w:r>
        <w:t xml:space="preserve">Israel Tel Aviv</w:t>
      </w:r>
      <w:r>
        <w:t xml:space="preserve">, shall suspend obligations under this agreement for the duration of the event.</w:t>
      </w:r>
    </w:p>
    <w:p>
      <w:pPr>
        <w:numPr>
          <w:ilvl w:val="0"/>
          <w:numId w:val="1002"/>
        </w:numPr>
        <w:pStyle w:val="Compact"/>
      </w:pPr>
      <w:r>
        <w:t xml:space="preserve">LEAP shall maintain professional indemnity insurance with a minimum coverage of ILS 5,000,000, valid throughout the term of this engagement.</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professional fees outlined herein for the engagement of the</w:t>
      </w:r>
      <w:r>
        <w:t xml:space="preserve"> </w:t>
      </w:r>
      <w:r>
        <w:t xml:space="preserve">Economist</w:t>
      </w:r>
      <w:r>
        <w:t xml:space="preserve"> </w:t>
      </w:r>
      <w:r>
        <w:t xml:space="preserve">in</w:t>
      </w:r>
      <w:r>
        <w:t xml:space="preserve"> </w:t>
      </w:r>
      <w:r>
        <w:t xml:space="preserve">Israel Tel Aviv</w:t>
      </w:r>
      <w:r>
        <w:t xml:space="preserve">. Upon countersignature by both parties, this document shall constitute a binding service agreement.</w:t>
      </w:r>
    </w:p>
    <w:p>
      <w:pPr>
        <w:pStyle w:val="BodyText"/>
      </w:pPr>
      <w:r>
        <w:rPr>
          <w:bCs/>
          <w:b/>
        </w:rPr>
        <w:t xml:space="preserve">For Levant Economic Advisory Partners</w:t>
      </w:r>
      <w:r>
        <w:br/>
      </w:r>
      <w:r>
        <w:t xml:space="preserve">Dr. Sarah Ben-Ami, Managing Director</w:t>
      </w:r>
      <w:r>
        <w:br/>
      </w:r>
      <w:r>
        <w:t xml:space="preserve">Date: ______________________</w:t>
      </w:r>
    </w:p>
    <w:p>
      <w:pPr>
        <w:pStyle w:val="BodyText"/>
      </w:pPr>
      <w:r>
        <w:rPr>
          <w:bCs/>
          <w:b/>
        </w:rPr>
        <w:t xml:space="preserve">For Meridian Capital Group Ltd.</w:t>
      </w:r>
      <w:r>
        <w:br/>
      </w:r>
      <w:r>
        <w:t xml:space="preserve">Mr. David Rosen, CFO</w:t>
      </w:r>
      <w:r>
        <w:br/>
      </w:r>
      <w:r>
        <w:t xml:space="preserve">Date: ______________________</w:t>
      </w:r>
    </w:p>
    <w:p>
      <w:pPr>
        <w:pStyle w:val="BodyText"/>
      </w:pPr>
      <w:r>
        <w:t xml:space="preserve">Quotation Estimate No. QE-2025-TLV-0487 | Levant Economic Advisory Partners | Tel Aviv, Israel</w:t>
      </w:r>
      <w:r>
        <w:br/>
      </w:r>
      <w:r>
        <w:t xml:space="preserve">This document is confidential and intended solely for the named recipient. Unauthorized distribution is prohibited under Israeli law.</w:t>
      </w:r>
      <w:r>
        <w:br/>
      </w:r>
      <w:r>
        <w:t xml:space="preserve">© 2025 LEAP.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Economist Services - Israel Tel Aviv</dc:title>
  <dc:creator/>
  <dc:language>en</dc:language>
  <cp:keywords/>
  <dcterms:created xsi:type="dcterms:W3CDTF">2026-10-10T05:53:23Z</dcterms:created>
  <dcterms:modified xsi:type="dcterms:W3CDTF">2026-10-10T05:53:23Z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