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quotation-estimate"/>
    <w:p>
      <w:pPr>
        <w:pStyle w:val="Heading1"/>
      </w:pPr>
      <w:r>
        <w:t xml:space="preserve">QUOTATION ESTIMATE</w:t>
      </w:r>
    </w:p>
    <w:p>
      <w:pPr>
        <w:pStyle w:val="FirstParagraph"/>
      </w:pPr>
      <w:r>
        <w:t xml:space="preserve">Professional Economist Engagement — Japan Kyoto Region</w:t>
      </w:r>
    </w:p>
    <w:p>
      <w:pPr>
        <w:pStyle w:val="BodyText"/>
      </w:pPr>
      <w:r>
        <w:t xml:space="preserve">Ref. No: QE-JK-2025-0472  |  Date of Issue: 15 June 2025</w:t>
      </w:r>
    </w:p>
    <w:bookmarkEnd w:id="20"/>
    <w:bookmarkStart w:id="21" w:name="prepared-by"/>
    <w:p>
      <w:pPr>
        <w:pStyle w:val="Heading3"/>
      </w:pPr>
      <w:r>
        <w:t xml:space="preserve">Prepared By</w:t>
      </w:r>
    </w:p>
    <w:p>
      <w:pPr>
        <w:pStyle w:val="FirstParagraph"/>
      </w:pPr>
      <w:r>
        <w:rPr>
          <w:bCs/>
          <w:b/>
        </w:rPr>
        <w:t xml:space="preserve">Meridian Economic Advisory Group</w:t>
      </w:r>
    </w:p>
    <w:p>
      <w:pPr>
        <w:pStyle w:val="BodyText"/>
      </w:pPr>
      <w:r>
        <w:t xml:space="preserve">7-2-1 Gion, Higashiyama-ku</w:t>
      </w:r>
    </w:p>
    <w:p>
      <w:pPr>
        <w:pStyle w:val="BodyText"/>
      </w:pPr>
      <w:r>
        <w:t xml:space="preserve">Kyoto 605-0073, Japan</w:t>
      </w:r>
    </w:p>
    <w:p>
      <w:pPr>
        <w:pStyle w:val="BodyText"/>
      </w:pPr>
      <w:r>
        <w:t xml:space="preserve">Tel: +81-75-555-0192</w:t>
      </w:r>
    </w:p>
    <w:p>
      <w:pPr>
        <w:pStyle w:val="BodyText"/>
      </w:pPr>
      <w:r>
        <w:t xml:space="preserve">Email: estimates@meridian-econ.jp</w:t>
      </w:r>
    </w:p>
    <w:bookmarkEnd w:id="21"/>
    <w:bookmarkStart w:id="22" w:name="prepared-for"/>
    <w:p>
      <w:pPr>
        <w:pStyle w:val="Heading3"/>
      </w:pPr>
      <w:r>
        <w:t xml:space="preserve">Prepared For</w:t>
      </w:r>
    </w:p>
    <w:p>
      <w:pPr>
        <w:pStyle w:val="FirstParagraph"/>
      </w:pPr>
      <w:r>
        <w:rPr>
          <w:bCs/>
          <w:b/>
        </w:rPr>
        <w:t xml:space="preserve">Kyoto Prefectural Economic Development Board</w:t>
      </w:r>
    </w:p>
    <w:p>
      <w:pPr>
        <w:pStyle w:val="BodyText"/>
      </w:pPr>
      <w:r>
        <w:t xml:space="preserve">1-1-1 Shijo-dori, Nakagyo-ku</w:t>
      </w:r>
    </w:p>
    <w:p>
      <w:pPr>
        <w:pStyle w:val="BodyText"/>
      </w:pPr>
      <w:r>
        <w:t xml:space="preserve">Kyoto 604-8501, Japan</w:t>
      </w:r>
    </w:p>
    <w:p>
      <w:pPr>
        <w:pStyle w:val="BodyText"/>
      </w:pPr>
      <w:r>
        <w:t xml:space="preserve">Attn: Director Tanaka, H.</w:t>
      </w:r>
    </w:p>
    <w:p>
      <w:pPr>
        <w:pStyle w:val="BodyText"/>
      </w:pPr>
      <w:r>
        <w:t xml:space="preserve">Project: FY2025 Regional Growth Strategy</w:t>
      </w:r>
    </w:p>
    <w:bookmarkEnd w:id="22"/>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Meridian Economic Advisory Group in response to the formal request from the Kyoto Prefectural Economic Development Board for the engagement of a senior</w:t>
      </w:r>
      <w:r>
        <w:t xml:space="preserve"> </w:t>
      </w:r>
      <w:r>
        <w:t xml:space="preserve">Economist</w:t>
      </w:r>
      <w:r>
        <w:t xml:space="preserve"> </w:t>
      </w:r>
      <w:r>
        <w:t xml:space="preserve">to conduct comprehensive macroeconomic and microeconomic analysis for the</w:t>
      </w:r>
      <w:r>
        <w:t xml:space="preserve"> </w:t>
      </w:r>
      <w:r>
        <w:t xml:space="preserve">Japan Kyoto</w:t>
      </w:r>
      <w:r>
        <w:t xml:space="preserve"> </w:t>
      </w:r>
      <w:r>
        <w:t xml:space="preserve">metropolitan and surrounding prefectural region. The scope of work outlined herein covers a twelve-month advisory period commencing 1 September 2025 and concluding 31 August 2026. All figures presented in this</w:t>
      </w:r>
      <w:r>
        <w:t xml:space="preserve"> </w:t>
      </w:r>
      <w:r>
        <w:t xml:space="preserve">Quotation Estimate</w:t>
      </w:r>
      <w:r>
        <w:t xml:space="preserve"> </w:t>
      </w:r>
      <w:r>
        <w:t xml:space="preserve">are denominated in Japanese Yen (JPY) unless otherwise stated, and reflect current market rates applicable to the</w:t>
      </w:r>
      <w:r>
        <w:t xml:space="preserve"> </w:t>
      </w:r>
      <w:r>
        <w:t xml:space="preserve">Japan Kyoto</w:t>
      </w:r>
      <w:r>
        <w:t xml:space="preserve"> </w:t>
      </w:r>
      <w:r>
        <w:t xml:space="preserve">professional services sector as of the date of issue.</w:t>
      </w:r>
    </w:p>
    <w:bookmarkEnd w:id="23"/>
    <w:bookmarkStart w:id="24" w:name="scope-of-services-economist-engagement"/>
    <w:p>
      <w:pPr>
        <w:pStyle w:val="Heading2"/>
      </w:pPr>
      <w:r>
        <w:t xml:space="preserve">2. Scope of Services — Economist Engagement</w:t>
      </w:r>
    </w:p>
    <w:p>
      <w:pPr>
        <w:pStyle w:val="FirstParagraph"/>
      </w:pPr>
      <w:r>
        <w:t xml:space="preserve">The</w:t>
      </w:r>
      <w:r>
        <w:t xml:space="preserve"> </w:t>
      </w:r>
      <w:r>
        <w:t xml:space="preserve">Economist</w:t>
      </w:r>
      <w:r>
        <w:t xml:space="preserve"> </w:t>
      </w:r>
      <w:r>
        <w:t xml:space="preserve">engaged under this</w:t>
      </w:r>
      <w:r>
        <w:t xml:space="preserve"> </w:t>
      </w:r>
      <w:r>
        <w:t xml:space="preserve">Quotation Estimate</w:t>
      </w:r>
      <w:r>
        <w:t xml:space="preserve"> </w:t>
      </w:r>
      <w:r>
        <w:t xml:space="preserve">shall provide the following services specifically tailored to the economic landscape of</w:t>
      </w:r>
      <w:r>
        <w:t xml:space="preserve"> </w:t>
      </w:r>
      <w:r>
        <w:t xml:space="preserve">Japan Kyoto</w:t>
      </w:r>
      <w:r>
        <w:t xml:space="preserve">:</w:t>
      </w:r>
    </w:p>
    <w:p>
      <w:pPr>
        <w:numPr>
          <w:ilvl w:val="0"/>
          <w:numId w:val="1001"/>
        </w:numPr>
        <w:pStyle w:val="Compact"/>
      </w:pPr>
      <w:r>
        <w:t xml:space="preserve">Quarterly macroeconomic forecasting for the Kyoto Prefecture, including GDP projections, inflation indices, and labour market analysis within the broader</w:t>
      </w:r>
      <w:r>
        <w:t xml:space="preserve"> </w:t>
      </w:r>
      <w:r>
        <w:t xml:space="preserve">Japan Kyoto</w:t>
      </w:r>
      <w:r>
        <w:t xml:space="preserve"> </w:t>
      </w:r>
      <w:r>
        <w:t xml:space="preserve">economic corridor.</w:t>
      </w:r>
    </w:p>
    <w:p>
      <w:pPr>
        <w:numPr>
          <w:ilvl w:val="0"/>
          <w:numId w:val="1001"/>
        </w:numPr>
        <w:pStyle w:val="Compact"/>
      </w:pPr>
      <w:r>
        <w:t xml:space="preserve">Microeconomic impact assessments for proposed infrastructure projects, tourism development initiatives, and small-to-medium enterprise (SME) support programmes in the</w:t>
      </w:r>
      <w:r>
        <w:t xml:space="preserve"> </w:t>
      </w:r>
      <w:r>
        <w:t xml:space="preserve">Japan Kyoto</w:t>
      </w:r>
      <w:r>
        <w:t xml:space="preserve"> </w:t>
      </w:r>
      <w:r>
        <w:t xml:space="preserve">region.</w:t>
      </w:r>
    </w:p>
    <w:p>
      <w:pPr>
        <w:numPr>
          <w:ilvl w:val="0"/>
          <w:numId w:val="1001"/>
        </w:numPr>
        <w:pStyle w:val="Compact"/>
      </w:pPr>
      <w:r>
        <w:t xml:space="preserve">Policy advisory sessions (minimum four per quarter) with the Kyoto Prefectural Economic Development Board and relevant municipal stakeholders across</w:t>
      </w:r>
      <w:r>
        <w:t xml:space="preserve"> </w:t>
      </w:r>
      <w:r>
        <w:t xml:space="preserve">Japan Kyoto</w:t>
      </w:r>
      <w:r>
        <w:t xml:space="preserve">.</w:t>
      </w:r>
    </w:p>
    <w:p>
      <w:pPr>
        <w:numPr>
          <w:ilvl w:val="0"/>
          <w:numId w:val="1001"/>
        </w:numPr>
        <w:pStyle w:val="Compact"/>
      </w:pPr>
      <w:r>
        <w:t xml:space="preserve">Preparation of a comprehensive annual economic outlook report for</w:t>
      </w:r>
      <w:r>
        <w:t xml:space="preserve"> </w:t>
      </w:r>
      <w:r>
        <w:t xml:space="preserve">Japan Kyoto</w:t>
      </w:r>
      <w:r>
        <w:t xml:space="preserve">, incorporating comparative analysis with other major Japanese metropolitan areas.</w:t>
      </w:r>
    </w:p>
    <w:p>
      <w:pPr>
        <w:numPr>
          <w:ilvl w:val="0"/>
          <w:numId w:val="1001"/>
        </w:numPr>
        <w:pStyle w:val="Compact"/>
      </w:pPr>
      <w:r>
        <w:t xml:space="preserve">Ad hoc economic modelling and scenario analysis upon request, with a guaranteed response window of five business days.</w:t>
      </w:r>
    </w:p>
    <w:p>
      <w:pPr>
        <w:numPr>
          <w:ilvl w:val="0"/>
          <w:numId w:val="1001"/>
        </w:numPr>
        <w:pStyle w:val="Compact"/>
      </w:pPr>
      <w:r>
        <w:t xml:space="preserve">Participation in at least two international economic forums or conferences per year representing the</w:t>
      </w:r>
      <w:r>
        <w:t xml:space="preserve"> </w:t>
      </w:r>
      <w:r>
        <w:t xml:space="preserve">Japan Kyoto</w:t>
      </w:r>
      <w:r>
        <w:t xml:space="preserve"> </w:t>
      </w:r>
      <w:r>
        <w:t xml:space="preserve">economic interests.</w:t>
      </w:r>
    </w:p>
    <w:bookmarkEnd w:id="24"/>
    <w:bookmarkStart w:id="25"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(JPY)</w:t>
            </w:r>
          </w:p>
        </w:tc>
        <w:tc>
          <w:tcPr/>
          <w:p>
            <w:pPr>
              <w:pStyle w:val="Compact"/>
              <w:jc w:val="left"/>
            </w:pPr>
            <w:r>
              <w:t xml:space="preserve">Subtotal (JPY)</w:t>
            </w:r>
          </w:p>
        </w:tc>
      </w:tr>
      <w:tr>
        <w:tc>
          <w:tcPr/>
          <w:p>
            <w:pPr>
              <w:pStyle w:val="Compact"/>
              <w:jc w:val="left"/>
            </w:pPr>
            <w:r>
              <w:t xml:space="preserve">1</w:t>
            </w:r>
          </w:p>
        </w:tc>
        <w:tc>
          <w:tcPr/>
          <w:p>
            <w:pPr>
              <w:pStyle w:val="Compact"/>
              <w:jc w:val="left"/>
            </w:pPr>
            <w:r>
              <w:t xml:space="preserve">Senior Economist — Monthly Retainer (full-time advisory, Japan Kyoto office-based)</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Quarterly Macroeconomic Forecasting Reports (Japan Kyoto Prefecture)</w:t>
            </w:r>
          </w:p>
        </w:tc>
        <w:tc>
          <w:tcPr/>
          <w:p>
            <w:pPr>
              <w:pStyle w:val="Compact"/>
              <w:jc w:val="left"/>
            </w:pPr>
            <w:r>
              <w:t xml:space="preserve">4 reports</w:t>
            </w:r>
          </w:p>
        </w:tc>
        <w:tc>
          <w:tcPr/>
          <w:p>
            <w:pPr>
              <w:pStyle w:val="Compact"/>
              <w:jc w:val="left"/>
            </w:pPr>
            <w:r>
              <w:t xml:space="preserve">480,000</w:t>
            </w:r>
          </w:p>
        </w:tc>
        <w:tc>
          <w:tcPr/>
          <w:p>
            <w:pPr>
              <w:pStyle w:val="Compact"/>
              <w:jc w:val="left"/>
            </w:pPr>
            <w:r>
              <w:t xml:space="preserve">1,920,000</w:t>
            </w:r>
          </w:p>
        </w:tc>
      </w:tr>
      <w:tr>
        <w:tc>
          <w:tcPr/>
          <w:p>
            <w:pPr>
              <w:pStyle w:val="Compact"/>
              <w:jc w:val="left"/>
            </w:pPr>
            <w:r>
              <w:t xml:space="preserve">3</w:t>
            </w:r>
          </w:p>
        </w:tc>
        <w:tc>
          <w:tcPr/>
          <w:p>
            <w:pPr>
              <w:pStyle w:val="Compact"/>
              <w:jc w:val="left"/>
            </w:pPr>
            <w:r>
              <w:t xml:space="preserve">Microeconomic Impact Assessments (infrastructure, tourism, SME programmes)</w:t>
            </w:r>
          </w:p>
        </w:tc>
        <w:tc>
          <w:tcPr/>
          <w:p>
            <w:pPr>
              <w:pStyle w:val="Compact"/>
              <w:jc w:val="left"/>
            </w:pPr>
            <w:r>
              <w:t xml:space="preserve">6 assessments</w:t>
            </w:r>
          </w:p>
        </w:tc>
        <w:tc>
          <w:tcPr/>
          <w:p>
            <w:pPr>
              <w:pStyle w:val="Compact"/>
              <w:jc w:val="left"/>
            </w:pPr>
            <w:r>
              <w:t xml:space="preserve">350,000</w:t>
            </w:r>
          </w:p>
        </w:tc>
        <w:tc>
          <w:tcPr/>
          <w:p>
            <w:pPr>
              <w:pStyle w:val="Compact"/>
              <w:jc w:val="left"/>
            </w:pPr>
            <w:r>
              <w:t xml:space="preserve">2,100,000</w:t>
            </w:r>
          </w:p>
        </w:tc>
      </w:tr>
      <w:tr>
        <w:tc>
          <w:tcPr/>
          <w:p>
            <w:pPr>
              <w:pStyle w:val="Compact"/>
              <w:jc w:val="left"/>
            </w:pPr>
            <w:r>
              <w:t xml:space="preserve">4</w:t>
            </w:r>
          </w:p>
        </w:tc>
        <w:tc>
          <w:tcPr/>
          <w:p>
            <w:pPr>
              <w:pStyle w:val="Compact"/>
              <w:jc w:val="left"/>
            </w:pPr>
            <w:r>
              <w:t xml:space="preserve">Policy Advisory Sessions with Kyoto Prefectural Board and municipal stakeholders</w:t>
            </w:r>
          </w:p>
        </w:tc>
        <w:tc>
          <w:tcPr/>
          <w:p>
            <w:pPr>
              <w:pStyle w:val="Compact"/>
              <w:jc w:val="left"/>
            </w:pPr>
            <w:r>
              <w:t xml:space="preserve">16 sessions</w:t>
            </w:r>
          </w:p>
        </w:tc>
        <w:tc>
          <w:tcPr/>
          <w:p>
            <w:pPr>
              <w:pStyle w:val="Compact"/>
              <w:jc w:val="left"/>
            </w:pPr>
            <w:r>
              <w:t xml:space="preserve">120,000</w:t>
            </w:r>
          </w:p>
        </w:tc>
        <w:tc>
          <w:tcPr/>
          <w:p>
            <w:pPr>
              <w:pStyle w:val="Compact"/>
              <w:jc w:val="left"/>
            </w:pPr>
            <w:r>
              <w:t xml:space="preserve">1,920,000</w:t>
            </w:r>
          </w:p>
        </w:tc>
      </w:tr>
      <w:tr>
        <w:tc>
          <w:tcPr/>
          <w:p>
            <w:pPr>
              <w:pStyle w:val="Compact"/>
              <w:jc w:val="left"/>
            </w:pPr>
            <w:r>
              <w:t xml:space="preserve">5</w:t>
            </w:r>
          </w:p>
        </w:tc>
        <w:tc>
          <w:tcPr/>
          <w:p>
            <w:pPr>
              <w:pStyle w:val="Compact"/>
              <w:jc w:val="left"/>
            </w:pPr>
            <w:r>
              <w:t xml:space="preserve">Annual Economic Outlook Report for Japan Kyoto (comprehensive, 80+ pages)</w:t>
            </w:r>
          </w:p>
        </w:tc>
        <w:tc>
          <w:tcPr/>
          <w:p>
            <w:pPr>
              <w:pStyle w:val="Compact"/>
              <w:jc w:val="left"/>
            </w:pPr>
            <w:r>
              <w:t xml:space="preserve">1 report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6</w:t>
            </w:r>
          </w:p>
        </w:tc>
        <w:tc>
          <w:tcPr/>
          <w:p>
            <w:pPr>
              <w:pStyle w:val="Compact"/>
              <w:jc w:val="left"/>
            </w:pPr>
            <w:r>
              <w:t xml:space="preserve">Ad hoc Economic Modelling and Scenario Analysis (estimated)</w:t>
            </w:r>
          </w:p>
        </w:tc>
        <w:tc>
          <w:tcPr/>
          <w:p>
            <w:pPr>
              <w:pStyle w:val="Compact"/>
              <w:jc w:val="left"/>
            </w:pPr>
            <w:r>
              <w:t xml:space="preserve">8 engagements</w:t>
            </w:r>
          </w:p>
        </w:tc>
        <w:tc>
          <w:tcPr/>
          <w:p>
            <w:pPr>
              <w:pStyle w:val="Compact"/>
              <w:jc w:val="left"/>
            </w:pPr>
            <w:r>
              <w:t xml:space="preserve">200,000</w:t>
            </w:r>
          </w:p>
        </w:tc>
        <w:tc>
          <w:tcPr/>
          <w:p>
            <w:pPr>
              <w:pStyle w:val="Compact"/>
              <w:jc w:val="left"/>
            </w:pPr>
            <w:r>
              <w:t xml:space="preserve">1,600,000</w:t>
            </w:r>
          </w:p>
        </w:tc>
      </w:tr>
      <w:tr>
        <w:tc>
          <w:tcPr/>
          <w:p>
            <w:pPr>
              <w:pStyle w:val="Compact"/>
              <w:jc w:val="left"/>
            </w:pPr>
            <w:r>
              <w:t xml:space="preserve">7</w:t>
            </w:r>
          </w:p>
        </w:tc>
        <w:tc>
          <w:tcPr/>
          <w:p>
            <w:pPr>
              <w:pStyle w:val="Compact"/>
              <w:jc w:val="left"/>
            </w:pPr>
            <w:r>
              <w:t xml:space="preserve">International Forum Participation and Representation (Japan Kyoto economic interests)</w:t>
            </w:r>
          </w:p>
        </w:tc>
        <w:tc>
          <w:tcPr/>
          <w:p>
            <w:pPr>
              <w:pStyle w:val="Compact"/>
              <w:jc w:val="left"/>
            </w:pPr>
            <w:r>
              <w:t xml:space="preserve">2 events</w:t>
            </w:r>
          </w:p>
        </w:tc>
        <w:tc>
          <w:tcPr/>
          <w:p>
            <w:pPr>
              <w:pStyle w:val="Compact"/>
              <w:jc w:val="left"/>
            </w:pPr>
            <w:r>
              <w:t xml:space="preserve">450,000</w:t>
            </w:r>
          </w:p>
        </w:tc>
        <w:tc>
          <w:tcPr/>
          <w:p>
            <w:pPr>
              <w:pStyle w:val="Compact"/>
              <w:jc w:val="left"/>
            </w:pPr>
            <w:r>
              <w:t xml:space="preserve">900,000</w:t>
            </w:r>
          </w:p>
        </w:tc>
      </w:tr>
      <w:tr>
        <w:tc>
          <w:tcPr/>
          <w:p>
            <w:pPr>
              <w:pStyle w:val="Compact"/>
              <w:jc w:val="left"/>
            </w:pPr>
            <w:r>
              <w:t xml:space="preserve">8</w:t>
            </w:r>
          </w:p>
        </w:tc>
        <w:tc>
          <w:tcPr/>
          <w:p>
            <w:pPr>
              <w:pStyle w:val="Compact"/>
              <w:jc w:val="left"/>
            </w:pPr>
            <w:r>
              <w:t xml:space="preserve">Travel, accommodation, and local logistics within Japan Kyoto and surrounding prefectures</w:t>
            </w:r>
          </w:p>
        </w:tc>
        <w:tc>
          <w:tcPr/>
          <w:p>
            <w:pPr>
              <w:pStyle w:val="Compact"/>
              <w:jc w:val="left"/>
            </w:pPr>
            <w:r>
              <w:t xml:space="preserve">12 months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9</w:t>
            </w:r>
          </w:p>
        </w:tc>
        <w:tc>
          <w:tcPr/>
          <w:p>
            <w:pPr>
              <w:pStyle w:val="Compact"/>
              <w:jc w:val="left"/>
            </w:pPr>
            <w:r>
              <w:t xml:space="preserve">Data licensing, econometric software subscriptions, and research materials</w:t>
            </w:r>
          </w:p>
        </w:tc>
        <w:tc>
          <w:tcPr/>
          <w:p>
            <w:pPr>
              <w:pStyle w:val="Compact"/>
              <w:jc w:val="left"/>
            </w:pPr>
            <w:r>
              <w:t xml:space="preserve">12 months</w:t>
            </w:r>
          </w:p>
        </w:tc>
        <w:tc>
          <w:tcPr/>
          <w:p>
            <w:pPr>
              <w:pStyle w:val="Compact"/>
              <w:jc w:val="left"/>
            </w:pPr>
            <w:r>
              <w:t xml:space="preserve">150,000</w:t>
            </w:r>
          </w:p>
        </w:tc>
        <w:tc>
          <w:tcPr/>
          <w:p>
            <w:pPr>
              <w:pStyle w:val="Compact"/>
              <w:jc w:val="left"/>
            </w:pPr>
            <w:r>
              <w:t xml:space="preserve">1,800,000</w:t>
            </w:r>
          </w:p>
        </w:tc>
      </w:tr>
      <w:tr>
        <w:tc>
          <w:tcPr/>
          <w:p>
            <w:pPr>
              <w:pStyle w:val="Compact"/>
              <w:jc w:val="left"/>
            </w:pPr>
            <w:r>
              <w:t xml:space="preserve">10</w:t>
            </w:r>
          </w:p>
        </w:tc>
        <w:tc>
          <w:tcPr/>
          <w:p>
            <w:pPr>
              <w:pStyle w:val="Compact"/>
              <w:jc w:val="left"/>
            </w:pPr>
            <w:r>
              <w:t xml:space="preserve">Administrative overhead and project management (Meridian Economic Advisory Group)</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1,140,000</w:t>
            </w:r>
          </w:p>
        </w:tc>
      </w:tr>
      <w:tr>
        <w:tc>
          <w:tcPr>
            <w:gridSpan w:val="4"/>
          </w:tcPr>
          <w:p>
            <w:pPr>
              <w:pStyle w:val="Compact"/>
              <w:jc w:val="right"/>
            </w:pPr>
            <w:r>
              <w:t xml:space="preserve">TOTAL ESTIMATED COST (before tax)</w:t>
            </w:r>
          </w:p>
        </w:tc>
        <w:tc>
          <w:tcPr/>
          <w:p>
            <w:pPr>
              <w:pStyle w:val="Compact"/>
              <w:jc w:val="left"/>
            </w:pPr>
            <w:r>
              <w:t xml:space="preserve">36,800,000</w:t>
            </w:r>
          </w:p>
        </w:tc>
      </w:tr>
      <w:tr>
        <w:tc>
          <w:tcPr>
            <w:gridSpan w:val="4"/>
          </w:tcPr>
          <w:p>
            <w:pPr>
              <w:pStyle w:val="Compact"/>
              <w:jc w:val="right"/>
            </w:pPr>
            <w:r>
              <w:t xml:space="preserve">Consumption Tax (10%)</w:t>
            </w:r>
          </w:p>
        </w:tc>
        <w:tc>
          <w:tcPr/>
          <w:p>
            <w:pPr>
              <w:pStyle w:val="Compact"/>
              <w:jc w:val="left"/>
            </w:pPr>
            <w:r>
              <w:t xml:space="preserve">3,680,000</w:t>
            </w:r>
          </w:p>
        </w:tc>
      </w:tr>
      <w:tr>
        <w:tc>
          <w:tcPr>
            <w:gridSpan w:val="4"/>
          </w:tcPr>
          <w:p>
            <w:pPr>
              <w:pStyle w:val="Compact"/>
              <w:jc w:val="right"/>
            </w:pPr>
            <w:r>
              <w:t xml:space="preserve">GRAND TOTAL (JPY)</w:t>
            </w:r>
          </w:p>
        </w:tc>
        <w:tc>
          <w:tcPr/>
          <w:p>
            <w:pPr>
              <w:pStyle w:val="Compact"/>
              <w:jc w:val="left"/>
            </w:pPr>
            <w:r>
              <w:t xml:space="preserve">40,480,000</w:t>
            </w:r>
          </w:p>
        </w:tc>
      </w:tr>
    </w:tbl>
    <w:bookmarkEnd w:id="25"/>
    <w:bookmarkStart w:id="26" w:name="X985eb999f0cfcda5f1af1a675bf0b7c2e0a6c64"/>
    <w:p>
      <w:pPr>
        <w:pStyle w:val="Heading2"/>
      </w:pPr>
      <w:r>
        <w:t xml:space="preserve">4. 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a period of sixty (60) calendar days from the date of issue. Beyond this period, all rates and conditions are subject to revision based on prevailing market conditions in the</w:t>
      </w:r>
      <w:r>
        <w:t xml:space="preserve"> </w:t>
      </w:r>
      <w:r>
        <w:t xml:space="preserve">Japan Kyoto</w:t>
      </w:r>
      <w:r>
        <w:t xml:space="preserve"> </w:t>
      </w:r>
      <w:r>
        <w:t xml:space="preserve">professional services sector.</w:t>
      </w:r>
    </w:p>
    <w:p>
      <w:pPr>
        <w:numPr>
          <w:ilvl w:val="0"/>
          <w:numId w:val="1002"/>
        </w:numPr>
        <w:pStyle w:val="Compact"/>
      </w:pPr>
      <w:r>
        <w:t xml:space="preserve">Payment shall be made in quarterly instalments of JPY 10,120,000 (inclusive of consumption tax), due within thirty (30) days of the invoice date. The first instalment is due upon contract execution.</w:t>
      </w:r>
    </w:p>
    <w:p>
      <w:pPr>
        <w:numPr>
          <w:ilvl w:val="0"/>
          <w:numId w:val="1002"/>
        </w:numPr>
        <w:pStyle w:val="Compact"/>
      </w:pPr>
      <w:r>
        <w:t xml:space="preserve">The</w:t>
      </w:r>
      <w:r>
        <w:t xml:space="preserve"> </w:t>
      </w:r>
      <w:r>
        <w:t xml:space="preserve">Economist</w:t>
      </w:r>
      <w:r>
        <w:t xml:space="preserve"> </w:t>
      </w:r>
      <w:r>
        <w:t xml:space="preserve">engaged under this arrangement shall be based primarily in the</w:t>
      </w:r>
      <w:r>
        <w:t xml:space="preserve"> </w:t>
      </w:r>
      <w:r>
        <w:t xml:space="preserve">Japan Kyoto</w:t>
      </w:r>
      <w:r>
        <w:t xml:space="preserve"> </w:t>
      </w:r>
      <w:r>
        <w:t xml:space="preserve">office of Meridian Economic Advisory Group located in Gion, Higashiyama-ku, and shall maintain a minimum of four (4) days per week of on-site presence at the Kyoto Prefectural Economic Development Board premises.</w:t>
      </w:r>
    </w:p>
    <w:p>
      <w:pPr>
        <w:numPr>
          <w:ilvl w:val="0"/>
          <w:numId w:val="1002"/>
        </w:numPr>
        <w:pStyle w:val="Compact"/>
      </w:pPr>
      <w:r>
        <w:t xml:space="preserve">All intellectual property, reports, models, and analytical outputs produced by the</w:t>
      </w:r>
      <w:r>
        <w:t xml:space="preserve"> </w:t>
      </w:r>
      <w:r>
        <w:t xml:space="preserve">Economist</w:t>
      </w:r>
      <w:r>
        <w:t xml:space="preserve"> </w:t>
      </w:r>
      <w:r>
        <w:t xml:space="preserve">in the course of this engagement shall become the sole property of the Kyoto Prefectural Economic Development Board upon full payment of the amounts specified in this</w:t>
      </w:r>
      <w:r>
        <w:t xml:space="preserve"> </w:t>
      </w:r>
      <w:r>
        <w:t xml:space="preserve">Quotation Estimate</w:t>
      </w:r>
      <w:r>
        <w:t xml:space="preserve">.</w:t>
      </w:r>
    </w:p>
    <w:p>
      <w:pPr>
        <w:numPr>
          <w:ilvl w:val="0"/>
          <w:numId w:val="1002"/>
        </w:numPr>
        <w:pStyle w:val="Compact"/>
      </w:pPr>
      <w:r>
        <w:t xml:space="preserve">Confidentiality obligations shall survive the termination of this engagement for a period of five (5) years. The</w:t>
      </w:r>
      <w:r>
        <w:t xml:space="preserve"> </w:t>
      </w:r>
      <w:r>
        <w:t xml:space="preserve">Economist</w:t>
      </w:r>
      <w:r>
        <w:t xml:space="preserve"> </w:t>
      </w:r>
      <w:r>
        <w:t xml:space="preserve">shall not disclose any proprietary economic data, internal forecasts, or strategic plans pertaining to</w:t>
      </w:r>
      <w:r>
        <w:t xml:space="preserve"> </w:t>
      </w:r>
      <w:r>
        <w:t xml:space="preserve">Japan Kyoto</w:t>
      </w:r>
      <w:r>
        <w:t xml:space="preserve"> </w:t>
      </w:r>
      <w:r>
        <w:t xml:space="preserve">to any third party without written consent.</w:t>
      </w:r>
    </w:p>
    <w:p>
      <w:pPr>
        <w:numPr>
          <w:ilvl w:val="0"/>
          <w:numId w:val="1002"/>
        </w:numPr>
        <w:pStyle w:val="Compact"/>
      </w:pPr>
      <w:r>
        <w:t xml:space="preserve">Either party may terminate this engagement with sixty (60) days written notice. In the event of early termination, all services rendered up to the termination date shall be invoiced in accordance with the rates set forth in this</w:t>
      </w:r>
      <w:r>
        <w:t xml:space="preserve"> </w:t>
      </w:r>
      <w:r>
        <w:t xml:space="preserve">Quotation Estimate</w:t>
      </w:r>
      <w:r>
        <w:t xml:space="preserve">.</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countersigned by both parties. The final service agreement shall be executed in accordance with Japanese commercial law and the specific regulations governing public-sector advisory engagements in the</w:t>
      </w:r>
      <w:r>
        <w:t xml:space="preserve"> </w:t>
      </w:r>
      <w:r>
        <w:t xml:space="preserve">Japan Kyoto</w:t>
      </w:r>
      <w:r>
        <w:t xml:space="preserve"> </w:t>
      </w:r>
      <w:r>
        <w:t xml:space="preserve">region.</w:t>
      </w:r>
    </w:p>
    <w:p>
      <w:pPr>
        <w:numPr>
          <w:ilvl w:val="0"/>
          <w:numId w:val="1002"/>
        </w:numPr>
        <w:pStyle w:val="Compact"/>
      </w:pPr>
      <w:r>
        <w:t xml:space="preserve">Any disputes arising from this</w:t>
      </w:r>
      <w:r>
        <w:t xml:space="preserve"> </w:t>
      </w:r>
      <w:r>
        <w:t xml:space="preserve">Quotation Estimate</w:t>
      </w:r>
      <w:r>
        <w:t xml:space="preserve"> </w:t>
      </w:r>
      <w:r>
        <w:t xml:space="preserve">or the subsequent service agreement shall be resolved through mediation in Kyoto, Japan, in accordance with the rules of the Kyoto Arbitration Centre.</w:t>
      </w:r>
    </w:p>
    <w:bookmarkEnd w:id="26"/>
    <w:bookmarkStart w:id="27" w:name="acceptance-and-authorisation"/>
    <w:p>
      <w:pPr>
        <w:pStyle w:val="Heading2"/>
      </w:pPr>
      <w:r>
        <w:t xml:space="preserve">5. Acceptance and Authorisation</w:t>
      </w:r>
    </w:p>
    <w:p>
      <w:pPr>
        <w:pStyle w:val="FirstParagraph"/>
      </w:pPr>
      <w:r>
        <w:t xml:space="preserve">By signing below, both parties acknowledge that they have read, understood, and agree to all terms, conditions, and cost estimates set forth in this</w:t>
      </w:r>
      <w:r>
        <w:t xml:space="preserve"> </w:t>
      </w:r>
      <w:r>
        <w:t xml:space="preserve">Quotation Estimate</w:t>
      </w:r>
      <w:r>
        <w:t xml:space="preserve"> </w:t>
      </w:r>
      <w:r>
        <w:t xml:space="preserve">for the engagement of the</w:t>
      </w:r>
      <w:r>
        <w:t xml:space="preserve"> </w:t>
      </w:r>
      <w:r>
        <w:t xml:space="preserve">Economist</w:t>
      </w:r>
      <w:r>
        <w:t xml:space="preserve"> </w:t>
      </w:r>
      <w:r>
        <w:t xml:space="preserve">in service of the</w:t>
      </w:r>
      <w:r>
        <w:t xml:space="preserve"> </w:t>
      </w:r>
      <w:r>
        <w:t xml:space="preserve">Japan Kyoto</w:t>
      </w:r>
      <w:r>
        <w:t xml:space="preserve"> </w:t>
      </w:r>
      <w:r>
        <w:t xml:space="preserve">regional economic development objectives.</w:t>
      </w:r>
    </w:p>
    <w:p>
      <w:pPr>
        <w:pStyle w:val="BodyText"/>
      </w:pPr>
      <w:r>
        <w:rPr>
          <w:bCs/>
          <w:b/>
        </w:rPr>
        <w:t xml:space="preserve">For Meridian Economic Advisory Group</w:t>
      </w:r>
    </w:p>
    <w:p>
      <w:pPr>
        <w:pStyle w:val="BodyText"/>
      </w:pPr>
      <w:r>
        <w:t xml:space="preserve">Name: Dr. Kenji Watanabe, Chief Economist</w:t>
      </w:r>
    </w:p>
    <w:p>
      <w:pPr>
        <w:pStyle w:val="BodyText"/>
      </w:pPr>
      <w:r>
        <w:t xml:space="preserve">Title: Managing Director</w:t>
      </w:r>
    </w:p>
    <w:p>
      <w:pPr>
        <w:pStyle w:val="BodyText"/>
      </w:pPr>
      <w:r>
        <w:t xml:space="preserve">Date: ____________________</w:t>
      </w:r>
    </w:p>
    <w:p>
      <w:pPr>
        <w:pStyle w:val="BodyText"/>
      </w:pPr>
      <w:r>
        <w:rPr>
          <w:bCs/>
          <w:b/>
        </w:rPr>
        <w:t xml:space="preserve">For Kyoto Prefectural Economic Development Board</w:t>
      </w:r>
    </w:p>
    <w:p>
      <w:pPr>
        <w:pStyle w:val="BodyText"/>
      </w:pPr>
      <w:r>
        <w:t xml:space="preserve">Name: Director Tanaka, H.</w:t>
      </w:r>
    </w:p>
    <w:p>
      <w:pPr>
        <w:pStyle w:val="BodyText"/>
      </w:pPr>
      <w:r>
        <w:t xml:space="preserve">Title: Board Chairperson</w:t>
      </w:r>
    </w:p>
    <w:p>
      <w:pPr>
        <w:pStyle w:val="BodyText"/>
      </w:pPr>
      <w:r>
        <w:t xml:space="preserve">Date: ____________________</w:t>
      </w:r>
    </w:p>
    <w:p>
      <w:pPr>
        <w:pStyle w:val="BodyText"/>
      </w:pPr>
      <w:r>
        <w:t xml:space="preserve">This Quotation Estimate (Ref. QE-JK-2025-0472) is the property of Meridian Economic Advisory Group. Unauthorised reproduction or distribution of this document, which pertains to Economist services in Japan Kyoto, is strictly prohibited. © 2025 Meridian Economic Advisory Group, Kyoto, Japan.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Economist Services - Japan Kyoto</dc:title>
  <dc:creator/>
  <dc:language>en</dc:language>
  <cp:keywords/>
  <dcterms:created xsi:type="dcterms:W3CDTF">2026-10-10T07:36:19Z</dcterms:created>
  <dcterms:modified xsi:type="dcterms:W3CDTF">2026-10-10T07:36:19Z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