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Economist Consulting Services — Japan Osaka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QE-2025-OSK-04871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Kenji Tanaka, Senior Economist — Tanaka Economic Advisory, Osaka, Japan</w:t>
            </w:r>
          </w:p>
        </w:tc>
      </w:tr>
      <w:tr>
        <w:tc>
          <w:tcPr/>
          <w:p>
            <w:pPr>
              <w:pStyle w:val="Compact"/>
              <w:jc w:val="left"/>
            </w:pPr>
            <w:r>
              <w:t xml:space="preserve">Prepared For</w:t>
            </w:r>
          </w:p>
        </w:tc>
        <w:tc>
          <w:tcPr/>
          <w:p>
            <w:pPr>
              <w:pStyle w:val="Compact"/>
              <w:jc w:val="left"/>
            </w:pPr>
            <w:r>
              <w:t xml:space="preserve">Osaka Metropolitan Development Authority, 3-1-1 Nakanoshima, Kita-ku, Osaka 530-0001, Japan</w:t>
            </w:r>
          </w:p>
        </w:tc>
      </w:tr>
      <w:tr>
        <w:tc>
          <w:tcPr/>
          <w:p>
            <w:pPr>
              <w:pStyle w:val="Compact"/>
              <w:jc w:val="left"/>
            </w:pPr>
            <w:r>
              <w:t xml:space="preserve">Project Location</w:t>
            </w:r>
          </w:p>
        </w:tc>
        <w:tc>
          <w:tcPr/>
          <w:p>
            <w:pPr>
              <w:pStyle w:val="Compact"/>
              <w:jc w:val="left"/>
            </w:pPr>
            <w:r>
              <w:t xml:space="preserve">Japan Osaka — Kansai Region Economic Development Zone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Tanaka Economic Advisory to formally present the projected costs, scope of engagement, and deliverables associated with the retention of a qualified</w:t>
      </w:r>
      <w:r>
        <w:t xml:space="preserve"> </w:t>
      </w:r>
      <w:r>
        <w:t xml:space="preserve">Economist</w:t>
      </w:r>
      <w:r>
        <w:t xml:space="preserve"> </w:t>
      </w:r>
      <w:r>
        <w:t xml:space="preserve">to provide comprehensive macroeconomic and regional economic analysis services for the Japan Osaka metropolitan area. This document serves as the official financial proposal and shall remain binding upon mutual acceptance by both parties. All figures presented herein are denominated in Japanese Yen (JPY) unless otherwise stated, and this</w:t>
      </w:r>
      <w:r>
        <w:t xml:space="preserve"> </w:t>
      </w:r>
      <w:r>
        <w:t xml:space="preserve">Quotation Estimate</w:t>
      </w:r>
      <w:r>
        <w:t xml:space="preserve"> </w:t>
      </w:r>
      <w:r>
        <w:t xml:space="preserve">reflects current market rates as of the date of issue.</w:t>
      </w:r>
    </w:p>
    <w:bookmarkEnd w:id="21"/>
    <w:bookmarkStart w:id="22" w:name="X41241b40c5b79070efdbc78e0140520d2598806"/>
    <w:p>
      <w:pPr>
        <w:pStyle w:val="Heading2"/>
      </w:pPr>
      <w:r>
        <w:t xml:space="preserve">2. Scope of Services — Economist Engagement in Japan Osaka</w:t>
      </w:r>
    </w:p>
    <w:p>
      <w:pPr>
        <w:pStyle w:val="FirstParagraph"/>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provide the following professional services specifically tailored to the economic landscape of Japan Osaka and the broader Kansai region:</w:t>
      </w:r>
    </w:p>
    <w:p>
      <w:pPr>
        <w:numPr>
          <w:ilvl w:val="0"/>
          <w:numId w:val="1001"/>
        </w:numPr>
        <w:pStyle w:val="Compact"/>
      </w:pPr>
      <w:r>
        <w:t xml:space="preserve">Comprehensive macroeconomic forecasting for the Japan Osaka metropolitan economy, including GDP projections, inflation modeling, and employment trend analysis for a period of five (5) fiscal years.</w:t>
      </w:r>
    </w:p>
    <w:p>
      <w:pPr>
        <w:numPr>
          <w:ilvl w:val="0"/>
          <w:numId w:val="1001"/>
        </w:numPr>
        <w:pStyle w:val="Compact"/>
      </w:pPr>
      <w:r>
        <w:t xml:space="preserve">Regional economic impact assessments for proposed infrastructure projects within the Japan Osaka development corridor, including the proposed Osaka Bay Area expansion and the Kansai International Trade Hub.</w:t>
      </w:r>
    </w:p>
    <w:p>
      <w:pPr>
        <w:numPr>
          <w:ilvl w:val="0"/>
          <w:numId w:val="1001"/>
        </w:numPr>
        <w:pStyle w:val="Compact"/>
      </w:pPr>
      <w:r>
        <w:t xml:space="preserve">Policy advisory services to the Japan Osaka municipal government regarding fiscal strategy, tax optimization, and public expenditure allocation.</w:t>
      </w:r>
    </w:p>
    <w:p>
      <w:pPr>
        <w:numPr>
          <w:ilvl w:val="0"/>
          <w:numId w:val="1001"/>
        </w:numPr>
        <w:pStyle w:val="Compact"/>
      </w:pPr>
      <w:r>
        <w:t xml:space="preserve">Quarterly economic outlook reports specific to Japan Osaka, distributed to relevant stakeholders, investment committees, and regulatory bodies.</w:t>
      </w:r>
    </w:p>
    <w:p>
      <w:pPr>
        <w:numPr>
          <w:ilvl w:val="0"/>
          <w:numId w:val="1001"/>
        </w:numPr>
        <w:pStyle w:val="Compact"/>
      </w:pPr>
      <w:r>
        <w:t xml:space="preserve">Participation in up to twelve (12) public forums, stakeholder meetings, and international economic conferences held within Japan Osaka or the broader Kansai region during the contract period.</w:t>
      </w:r>
    </w:p>
    <w:p>
      <w:pPr>
        <w:numPr>
          <w:ilvl w:val="0"/>
          <w:numId w:val="1001"/>
        </w:numPr>
        <w:pStyle w:val="Compact"/>
      </w:pPr>
      <w:r>
        <w:t xml:space="preserve">Ad hoc economic modeling and scenario analysis as requested by the client, with a guaranteed response time of five (5) business days.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Estimated Cost (JPY)</w:t>
            </w:r>
          </w:p>
        </w:tc>
      </w:tr>
      <w:tr>
        <w:tc>
          <w:tcPr/>
          <w:p>
            <w:pPr>
              <w:pStyle w:val="Compact"/>
              <w:jc w:val="left"/>
            </w:pPr>
            <w:r>
              <w:t xml:space="preserve">01</w:t>
            </w:r>
          </w:p>
        </w:tc>
        <w:tc>
          <w:tcPr/>
          <w:p>
            <w:pPr>
              <w:pStyle w:val="Compact"/>
              <w:jc w:val="left"/>
            </w:pPr>
            <w:r>
              <w:t xml:space="preserve">Senior Economist Retainer Fee — Full-time engagement in Japan Osaka</w:t>
            </w:r>
          </w:p>
        </w:tc>
        <w:tc>
          <w:tcPr/>
          <w:p>
            <w:pPr>
              <w:pStyle w:val="Compact"/>
              <w:jc w:val="left"/>
            </w:pPr>
            <w:r>
              <w:t xml:space="preserve">12 months</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Macroeconomic Forecasting &amp; Modeling (Japan Osaka Region)</w:t>
            </w:r>
          </w:p>
        </w:tc>
        <w:tc>
          <w:tcPr/>
          <w:p>
            <w:pPr>
              <w:pStyle w:val="Compact"/>
              <w:jc w:val="left"/>
            </w:pPr>
            <w:r>
              <w:t xml:space="preserve">5-year horizon</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Regional Economic Impact Assessments (Infrastructure Projects)</w:t>
            </w:r>
          </w:p>
        </w:tc>
        <w:tc>
          <w:tcPr/>
          <w:p>
            <w:pPr>
              <w:pStyle w:val="Compact"/>
              <w:jc w:val="left"/>
            </w:pPr>
            <w:r>
              <w:t xml:space="preserve">Per project (est. 3 projects)</w:t>
            </w:r>
          </w:p>
        </w:tc>
        <w:tc>
          <w:tcPr/>
          <w:p>
            <w:pPr>
              <w:pStyle w:val="Compact"/>
              <w:jc w:val="left"/>
            </w:pPr>
            <w:r>
              <w:t xml:space="preserve">6,750,000</w:t>
            </w:r>
          </w:p>
        </w:tc>
      </w:tr>
      <w:tr>
        <w:tc>
          <w:tcPr/>
          <w:p>
            <w:pPr>
              <w:pStyle w:val="Compact"/>
              <w:jc w:val="left"/>
            </w:pPr>
            <w:r>
              <w:t xml:space="preserve">04</w:t>
            </w:r>
          </w:p>
        </w:tc>
        <w:tc>
          <w:tcPr/>
          <w:p>
            <w:pPr>
              <w:pStyle w:val="Compact"/>
              <w:jc w:val="left"/>
            </w:pPr>
            <w:r>
              <w:t xml:space="preserve">Quarterly Economic Outlook Reports for Japan Osaka</w:t>
            </w:r>
          </w:p>
        </w:tc>
        <w:tc>
          <w:tcPr/>
          <w:p>
            <w:pPr>
              <w:pStyle w:val="Compact"/>
              <w:jc w:val="left"/>
            </w:pPr>
            <w:r>
              <w:t xml:space="preserve">4 reports per year</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Public Forum Participation &amp; Conference Representation</w:t>
            </w:r>
          </w:p>
        </w:tc>
        <w:tc>
          <w:tcPr/>
          <w:p>
            <w:pPr>
              <w:pStyle w:val="Compact"/>
              <w:jc w:val="left"/>
            </w:pPr>
            <w:r>
              <w:t xml:space="preserve">12 events</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Ad Hoc Economic Modeling &amp; Scenario Analysis</w:t>
            </w:r>
          </w:p>
        </w:tc>
        <w:tc>
          <w:tcPr/>
          <w:p>
            <w:pPr>
              <w:pStyle w:val="Compact"/>
              <w:jc w:val="left"/>
            </w:pPr>
            <w:r>
              <w:t xml:space="preserve">As required (est. 8 engagements)</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Office Space &amp; Operational Overhead in Japan Osaka</w:t>
            </w:r>
          </w:p>
        </w:tc>
        <w:tc>
          <w:tcPr/>
          <w:p>
            <w:pPr>
              <w:pStyle w:val="Compact"/>
              <w:jc w:val="left"/>
            </w:pPr>
            <w:r>
              <w:t xml:space="preserve">12 months</w:t>
            </w:r>
          </w:p>
        </w:tc>
        <w:tc>
          <w:tcPr/>
          <w:p>
            <w:pPr>
              <w:pStyle w:val="Compact"/>
              <w:jc w:val="left"/>
            </w:pPr>
            <w:r>
              <w:t xml:space="preserve">2,880,000</w:t>
            </w:r>
          </w:p>
        </w:tc>
      </w:tr>
      <w:tr>
        <w:tc>
          <w:tcPr/>
          <w:p>
            <w:pPr>
              <w:pStyle w:val="Compact"/>
              <w:jc w:val="left"/>
            </w:pPr>
            <w:r>
              <w:t xml:space="preserve">08</w:t>
            </w:r>
          </w:p>
        </w:tc>
        <w:tc>
          <w:tcPr/>
          <w:p>
            <w:pPr>
              <w:pStyle w:val="Compact"/>
              <w:jc w:val="left"/>
            </w:pPr>
            <w:r>
              <w:t xml:space="preserve">Travel &amp; Logistics within Japan Osaka and Kansai Region</w:t>
            </w:r>
          </w:p>
        </w:tc>
        <w:tc>
          <w:tcPr/>
          <w:p>
            <w:pPr>
              <w:pStyle w:val="Compact"/>
              <w:jc w:val="left"/>
            </w:pPr>
            <w:r>
              <w:t xml:space="preserve">12 months</w:t>
            </w:r>
          </w:p>
        </w:tc>
        <w:tc>
          <w:tcPr/>
          <w:p>
            <w:pPr>
              <w:pStyle w:val="Compact"/>
              <w:jc w:val="left"/>
            </w:pPr>
            <w:r>
              <w:t xml:space="preserve">1,440,000</w:t>
            </w:r>
          </w:p>
        </w:tc>
      </w:tr>
      <w:tr>
        <w:tc>
          <w:tcPr>
            <w:gridSpan w:val="3"/>
          </w:tcPr>
          <w:p>
            <w:pPr>
              <w:pStyle w:val="Compact"/>
              <w:jc w:val="left"/>
            </w:pPr>
            <w:r>
              <w:t xml:space="preserve">TOTAL ESTIMATED COST (Before Tax)</w:t>
            </w:r>
          </w:p>
        </w:tc>
        <w:tc>
          <w:tcPr/>
          <w:p>
            <w:pPr>
              <w:pStyle w:val="Compact"/>
              <w:jc w:val="left"/>
            </w:pPr>
            <w:r>
              <w:t xml:space="preserve">42,770,000</w:t>
            </w:r>
          </w:p>
        </w:tc>
      </w:tr>
      <w:tr>
        <w:tc>
          <w:tcPr>
            <w:gridSpan w:val="3"/>
          </w:tcPr>
          <w:p>
            <w:pPr>
              <w:pStyle w:val="Compact"/>
              <w:jc w:val="left"/>
            </w:pPr>
            <w:r>
              <w:t xml:space="preserve">Consumption Tax (10%)</w:t>
            </w:r>
          </w:p>
        </w:tc>
        <w:tc>
          <w:tcPr/>
          <w:p>
            <w:pPr>
              <w:pStyle w:val="Compact"/>
              <w:jc w:val="left"/>
            </w:pPr>
            <w:r>
              <w:t xml:space="preserve">4,277,000</w:t>
            </w:r>
          </w:p>
        </w:tc>
      </w:tr>
      <w:tr>
        <w:tc>
          <w:tcPr>
            <w:gridSpan w:val="3"/>
          </w:tcPr>
          <w:p>
            <w:pPr>
              <w:pStyle w:val="Compact"/>
              <w:jc w:val="left"/>
            </w:pPr>
            <w:r>
              <w:t xml:space="preserve">GRAND TOTAL (JPY)</w:t>
            </w:r>
          </w:p>
        </w:tc>
        <w:tc>
          <w:tcPr/>
          <w:p>
            <w:pPr>
              <w:pStyle w:val="Compact"/>
              <w:jc w:val="left"/>
            </w:pPr>
            <w:r>
              <w:t xml:space="preserve">47,047,000</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Economist</w:t>
      </w:r>
      <w:r>
        <w:t xml:space="preserve"> </w:t>
      </w:r>
      <w:r>
        <w:t xml:space="preserve">services in Japan Osaka shall be structured as follows:</w:t>
      </w:r>
    </w:p>
    <w:p>
      <w:pPr>
        <w:numPr>
          <w:ilvl w:val="0"/>
          <w:numId w:val="1002"/>
        </w:numPr>
        <w:pStyle w:val="Compact"/>
      </w:pPr>
      <w:r>
        <w:rPr>
          <w:bCs/>
          <w:b/>
        </w:rPr>
        <w:t xml:space="preserve">30% Advance Payment:</w:t>
      </w:r>
      <w:r>
        <w:t xml:space="preserve"> </w:t>
      </w:r>
      <w:r>
        <w:t xml:space="preserve">Due upon execution of the service agreement (approximately JPY 14,114,100).</w:t>
      </w:r>
    </w:p>
    <w:p>
      <w:pPr>
        <w:numPr>
          <w:ilvl w:val="0"/>
          <w:numId w:val="1002"/>
        </w:numPr>
        <w:pStyle w:val="Compact"/>
      </w:pPr>
      <w:r>
        <w:rPr>
          <w:bCs/>
          <w:b/>
        </w:rPr>
        <w:t xml:space="preserve">40% Mid-Contract Payment:</w:t>
      </w:r>
      <w:r>
        <w:t xml:space="preserve"> </w:t>
      </w:r>
      <w:r>
        <w:t xml:space="preserve">Due at the six-month mark of the engagement period (approximately JPY 18,818,800).</w:t>
      </w:r>
    </w:p>
    <w:p>
      <w:pPr>
        <w:numPr>
          <w:ilvl w:val="0"/>
          <w:numId w:val="1002"/>
        </w:numPr>
        <w:pStyle w:val="Compact"/>
      </w:pPr>
      <w:r>
        <w:rPr>
          <w:bCs/>
          <w:b/>
        </w:rPr>
        <w:t xml:space="preserve">30% Final Payment:</w:t>
      </w:r>
      <w:r>
        <w:t xml:space="preserve"> </w:t>
      </w:r>
      <w:r>
        <w:t xml:space="preserve">Due upon completion of all deliverables and submission of the final economic report for Japan Osaka (approximately JPY 14,114,100).</w:t>
      </w:r>
    </w:p>
    <w:p>
      <w:pPr>
        <w:pStyle w:val="FirstParagraph"/>
      </w:pPr>
      <w:r>
        <w:t xml:space="preserve">All payments shall be made via bank transfer to the account designated by Tanaka Economic Advisory, Osaka, Japan. Late payments shall incur an interest charge of 1.5% per month as stipulated under Japanese commercial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ninety (90) days from the date of issue. Beyond this period, all rates and terms are subject to revision based on prevailing economic conditions in Japan Osaka.</w:t>
      </w:r>
    </w:p>
    <w:p>
      <w:pPr>
        <w:pStyle w:val="BodyText"/>
      </w:pPr>
      <w:r>
        <w:rPr>
          <w:bCs/>
          <w:b/>
        </w:rPr>
        <w:t xml:space="preserve">5.2</w:t>
      </w:r>
      <w:r>
        <w:t xml:space="preserve"> </w:t>
      </w:r>
      <w:r>
        <w:t xml:space="preserve">The</w:t>
      </w:r>
      <w:r>
        <w:t xml:space="preserve"> </w:t>
      </w:r>
      <w:r>
        <w:t xml:space="preserve">Economist</w:t>
      </w:r>
      <w:r>
        <w:t xml:space="preserve"> </w:t>
      </w:r>
      <w:r>
        <w:t xml:space="preserve">engaged under this agreement shall maintain full professional independence and shall not be subject to undue influence from the client regarding the content of economic analyses, forecasts, or policy recommendations pertaining to Japan Osaka.</w:t>
      </w:r>
    </w:p>
    <w:p>
      <w:pPr>
        <w:pStyle w:val="BodyText"/>
      </w:pPr>
      <w:r>
        <w:rPr>
          <w:bCs/>
          <w:b/>
        </w:rPr>
        <w:t xml:space="preserve">5.3</w:t>
      </w:r>
      <w:r>
        <w:t xml:space="preserve"> </w:t>
      </w:r>
      <w:r>
        <w:t xml:space="preserve">All intellectual property, reports, models, and analytical frameworks developed by the</w:t>
      </w:r>
      <w:r>
        <w:t xml:space="preserve"> </w:t>
      </w:r>
      <w:r>
        <w:t xml:space="preserve">Economist</w:t>
      </w:r>
      <w:r>
        <w:t xml:space="preserve"> </w:t>
      </w:r>
      <w:r>
        <w:t xml:space="preserve">specifically for this engagement in Japan Osaka shall become the property of the client upon full payment.</w:t>
      </w:r>
    </w:p>
    <w:p>
      <w:pPr>
        <w:pStyle w:val="BodyText"/>
      </w:pPr>
      <w:r>
        <w:rPr>
          <w:bCs/>
          <w:b/>
        </w:rPr>
        <w:t xml:space="preserve">5.4</w:t>
      </w:r>
      <w:r>
        <w:t xml:space="preserve"> </w:t>
      </w:r>
      <w:r>
        <w:t xml:space="preserve">Either party may terminate this agreement with thirty (30) days written notice. In the event of early termination, the client shall be liable for all services rendered up to the date of termination as outlined in this</w:t>
      </w:r>
      <w:r>
        <w:t xml:space="preserve"> </w:t>
      </w:r>
      <w:r>
        <w:t xml:space="preserve">Quotation Estimate</w:t>
      </w:r>
      <w:r>
        <w:t xml:space="preserve">.</w:t>
      </w:r>
    </w:p>
    <w:p>
      <w:pPr>
        <w:pStyle w:val="BodyText"/>
      </w:pPr>
      <w:r>
        <w:rPr>
          <w:bCs/>
          <w:b/>
        </w:rPr>
        <w:t xml:space="preserve">5.5</w:t>
      </w:r>
      <w:r>
        <w:t xml:space="preserve"> </w:t>
      </w:r>
      <w:r>
        <w:t xml:space="preserve">This</w:t>
      </w:r>
      <w:r>
        <w:t xml:space="preserve"> </w:t>
      </w:r>
      <w:r>
        <w:t xml:space="preserve">Quotation Estimate</w:t>
      </w:r>
      <w:r>
        <w:t xml:space="preserve"> </w:t>
      </w:r>
      <w:r>
        <w:t xml:space="preserve">and the resulting service agreement shall be governed by and interpreted in accordance with the laws of Japan. Any disputes shall be resolved through arbitration in Japan Osaka under the rules of the Japan Commercial Arbitration Association.</w:t>
      </w:r>
    </w:p>
    <w:p>
      <w:pPr>
        <w:pStyle w:val="BodyText"/>
      </w:pPr>
      <w:r>
        <w:rPr>
          <w:bCs/>
          <w:b/>
        </w:rPr>
        <w:t xml:space="preserve">5.6</w:t>
      </w:r>
      <w:r>
        <w:t xml:space="preserve"> </w:t>
      </w:r>
      <w:r>
        <w:t xml:space="preserve">The</w:t>
      </w:r>
      <w:r>
        <w:t xml:space="preserve"> </w:t>
      </w:r>
      <w:r>
        <w:t xml:space="preserve">Economist</w:t>
      </w:r>
      <w:r>
        <w:t xml:space="preserve"> </w:t>
      </w:r>
      <w:r>
        <w:t xml:space="preserve">shall comply with all applicable data protection regulations, including the Act on the Protection of Personal Information (APPI) as enforced in Japan Osaka and the broader Kansai region.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financial projections set forth 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in Japan Osaka. This document, once countersigned, shall constitute a binding service agreement.</w:t>
      </w:r>
    </w:p>
    <w:p>
      <w:pPr>
        <w:pStyle w:val="BodyText"/>
      </w:pPr>
      <w:r>
        <w:rPr>
          <w:bCs/>
          <w:b/>
        </w:rPr>
        <w:t xml:space="preserve">For Tanaka Economic Advisory (Provider)</w:t>
      </w:r>
      <w:r>
        <w:br/>
      </w:r>
      <w:r>
        <w:t xml:space="preserve">Dr. Kenji Tanaka, Senior Economist</w:t>
      </w:r>
      <w:r>
        <w:br/>
      </w:r>
      <w:r>
        <w:t xml:space="preserve">Date: _______________</w:t>
      </w:r>
    </w:p>
    <w:p>
      <w:pPr>
        <w:pStyle w:val="BodyText"/>
      </w:pPr>
      <w:r>
        <w:rPr>
          <w:bCs/>
          <w:b/>
        </w:rPr>
        <w:t xml:space="preserve">For Osaka Metropolitan Development Authority (Client)</w:t>
      </w:r>
      <w:r>
        <w:br/>
      </w:r>
      <w:r>
        <w:t xml:space="preserve">Authorized Representative</w:t>
      </w:r>
      <w:r>
        <w:br/>
      </w:r>
      <w:r>
        <w:t xml:space="preserve">Date: _______________</w:t>
      </w:r>
    </w:p>
    <w:p>
      <w:pPr>
        <w:pStyle w:val="BodyText"/>
      </w:pPr>
      <w:r>
        <w:t xml:space="preserve">Tanaka Economic Advisory — 12-4 Umeda, Kita-ku, Osaka 530-0001, Japan Osaka</w:t>
      </w:r>
      <w:r>
        <w:br/>
      </w:r>
      <w:r>
        <w:t xml:space="preserve">Tel: +81-6-XXXX-XXXX | Email: advisory@tanaka-econ.jp | Registered in Osaka, Japan</w:t>
      </w:r>
      <w:r>
        <w:br/>
      </w:r>
      <w:r>
        <w:t xml:space="preserve">This Quotation Estimate is the property of Tanaka Economic Advisory and is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Japan Osaka</dc:title>
  <dc:creator/>
  <dc:language>en</dc:language>
  <cp:keywords/>
  <dcterms:created xsi:type="dcterms:W3CDTF">2026-10-10T09:15:24Z</dcterms:created>
  <dcterms:modified xsi:type="dcterms:W3CDTF">2026-10-10T09:15:24Z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