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Economist Engagement Services — Kazakhstan Almaty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QE-KZ-ALM-2025-0472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Central Asia Professional Services LLP, 45 Abai Avenue, Almaty, Kazakhstan</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Kazakhstan Almaty — Primary Office, Dostyk Avenue Business District</w:t>
            </w:r>
          </w:p>
        </w:tc>
      </w:tr>
      <w:tr>
        <w:tc>
          <w:tcPr/>
          <w:p>
            <w:pPr>
              <w:pStyle w:val="Compact"/>
              <w:jc w:val="left"/>
            </w:pPr>
            <w:r>
              <w:t xml:space="preserve">Currency</w:t>
            </w:r>
          </w:p>
        </w:tc>
        <w:tc>
          <w:tcPr/>
          <w:p>
            <w:pPr>
              <w:pStyle w:val="Compact"/>
              <w:jc w:val="left"/>
            </w:pPr>
            <w:r>
              <w:t xml:space="preserve">US Dollars (USD) / Kazakhstani Tenge (KZT) at prevailing NKB rate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Central Asia Professional Services LLP to formally outline the scope, deliverables, and associated costs for the engagement of a senior</w:t>
      </w:r>
      <w:r>
        <w:t xml:space="preserve"> </w:t>
      </w:r>
      <w:r>
        <w:t xml:space="preserve">Economist</w:t>
      </w:r>
      <w:r>
        <w:t xml:space="preserve"> </w:t>
      </w:r>
      <w:r>
        <w:t xml:space="preserve">to provide advisory, analytical, and strategic economic services within the city of</w:t>
      </w:r>
      <w:r>
        <w:t xml:space="preserve"> </w:t>
      </w:r>
      <w:r>
        <w:t xml:space="preserve">Kazakhstan Almaty</w:t>
      </w:r>
      <w:r>
        <w:t xml:space="preserve">. This document serves as a binding financial proposal and shall remain valid for the period specified above. All figures presented herein are based on current market rates applicable to the Kazakhstan Almaty professional services sector as of the date of issue.</w:t>
      </w:r>
    </w:p>
    <w:bookmarkEnd w:id="21"/>
    <w:bookmarkStart w:id="22" w:name="scope-of-services-economist-engagement"/>
    <w:p>
      <w:pPr>
        <w:pStyle w:val="Heading2"/>
      </w:pPr>
      <w:r>
        <w:t xml:space="preserve">2. Scope of Services — Economist Engagement</w:t>
      </w:r>
    </w:p>
    <w:p>
      <w:pPr>
        <w:pStyle w:val="FirstParagraph"/>
      </w:pPr>
      <w:r>
        <w:t xml:space="preserve">The</w:t>
      </w:r>
      <w:r>
        <w:t xml:space="preserve"> </w:t>
      </w:r>
      <w:r>
        <w:t xml:space="preserve">Economist</w:t>
      </w:r>
      <w:r>
        <w:t xml:space="preserve"> </w:t>
      </w:r>
      <w:r>
        <w:t xml:space="preserve">engaged under this Quotation Estimate shall perform the following duties and deliverables, all conducted primarily at the Kazakhstan Almaty office location or as otherwise agreed in writing:</w:t>
      </w:r>
    </w:p>
    <w:p>
      <w:pPr>
        <w:numPr>
          <w:ilvl w:val="0"/>
          <w:numId w:val="1001"/>
        </w:numPr>
        <w:pStyle w:val="Compact"/>
      </w:pPr>
      <w:r>
        <w:rPr>
          <w:bCs/>
          <w:b/>
        </w:rPr>
        <w:t xml:space="preserve">Macroeconomic Analysis:</w:t>
      </w:r>
      <w:r>
        <w:t xml:space="preserve"> </w:t>
      </w:r>
      <w:r>
        <w:t xml:space="preserve">Preparation of quarterly and annual macroeconomic outlook reports specific to the Republic of Kazakhstan, with particular focus on the Almaty metropolitan region, including GDP projections, inflation modeling, and monetary policy assessment in coordination with the National Bank of Kazakhstan.</w:t>
      </w:r>
    </w:p>
    <w:p>
      <w:pPr>
        <w:numPr>
          <w:ilvl w:val="0"/>
          <w:numId w:val="1001"/>
        </w:numPr>
        <w:pStyle w:val="Compact"/>
      </w:pPr>
      <w:r>
        <w:rPr>
          <w:bCs/>
          <w:b/>
        </w:rPr>
        <w:t xml:space="preserve">Industry &amp; Sector Research:</w:t>
      </w:r>
      <w:r>
        <w:t xml:space="preserve"> </w:t>
      </w:r>
      <w:r>
        <w:t xml:space="preserve">In-depth economic feasibility studies for client projects situated in Kazakhstan Almaty, covering labor market dynamics, supply chain cost structures, and regulatory impact assessments under Kazakhstani commercial and tax legislation.</w:t>
      </w:r>
    </w:p>
    <w:p>
      <w:pPr>
        <w:numPr>
          <w:ilvl w:val="0"/>
          <w:numId w:val="1001"/>
        </w:numPr>
        <w:pStyle w:val="Compact"/>
      </w:pPr>
      <w:r>
        <w:rPr>
          <w:bCs/>
          <w:b/>
        </w:rPr>
        <w:t xml:space="preserve">Strategic Advisory:</w:t>
      </w:r>
      <w:r>
        <w:t xml:space="preserve"> </w:t>
      </w:r>
      <w:r>
        <w:t xml:space="preserve">Ongoing advisory sessions (minimum 8 hours per month) with the client's executive leadership team regarding investment positioning, risk mitigation, and market entry strategies tailored to the Kazakhstan Almaty business environment.</w:t>
      </w:r>
    </w:p>
    <w:p>
      <w:pPr>
        <w:numPr>
          <w:ilvl w:val="0"/>
          <w:numId w:val="1001"/>
        </w:numPr>
        <w:pStyle w:val="Compact"/>
      </w:pPr>
      <w:r>
        <w:rPr>
          <w:bCs/>
          <w:b/>
        </w:rPr>
        <w:t xml:space="preserve">Policy &amp; Regulatory Monitoring:</w:t>
      </w:r>
      <w:r>
        <w:t xml:space="preserve"> </w:t>
      </w:r>
      <w:r>
        <w:t xml:space="preserve">Continuous tracking of legislative changes issued by the Government of Kazakhstan, the Ministry of National Economy, and Almaty City Akimat, with monthly briefing memoranda delivered to the client.</w:t>
      </w:r>
    </w:p>
    <w:p>
      <w:pPr>
        <w:numPr>
          <w:ilvl w:val="0"/>
          <w:numId w:val="1001"/>
        </w:numPr>
        <w:pStyle w:val="Compact"/>
      </w:pPr>
      <w:r>
        <w:rPr>
          <w:bCs/>
          <w:b/>
        </w:rPr>
        <w:t xml:space="preserve">Stakeholder Engagement:</w:t>
      </w:r>
      <w:r>
        <w:t xml:space="preserve"> </w:t>
      </w:r>
      <w:r>
        <w:t xml:space="preserve">Representation of the client at relevant economic forums, chambers of commerce meetings, and bilateral trade delegations held in Kazakhstan Almaty, including the Astana International Financial Centre (AIFC) liaison activities.</w:t>
      </w:r>
    </w:p>
    <w:p>
      <w:pPr>
        <w:numPr>
          <w:ilvl w:val="0"/>
          <w:numId w:val="1001"/>
        </w:numPr>
        <w:pStyle w:val="Compact"/>
      </w:pPr>
      <w:r>
        <w:rPr>
          <w:bCs/>
          <w:b/>
        </w:rPr>
        <w:t xml:space="preserve">Data &amp; Reporting:</w:t>
      </w:r>
      <w:r>
        <w:t xml:space="preserve"> </w:t>
      </w:r>
      <w:r>
        <w:t xml:space="preserve">Compilation of a comprehensive economic intelligence database covering Kazakhstan Almaty trade statistics, foreign direct investment flows, and sectoral performance indicators, updated on a bi-weekly basis.</w:t>
      </w:r>
    </w:p>
    <w:bookmarkEnd w:id="22"/>
    <w:bookmarkStart w:id="23" w:name="itemized-cost-breakdown"/>
    <w:p>
      <w:pPr>
        <w:pStyle w:val="Heading2"/>
      </w:pPr>
      <w:r>
        <w:t xml:space="preserve">3. Itemized Cost Breakdown</w:t>
      </w:r>
    </w:p>
    <w:p>
      <w:pPr>
        <w:pStyle w:val="FirstParagraph"/>
      </w:pPr>
      <w:r>
        <w:t xml:space="preserve">The following table constitutes the complete financial schedule for this</w:t>
      </w:r>
      <w:r>
        <w:t xml:space="preserve"> </w:t>
      </w:r>
      <w:r>
        <w:t xml:space="preserve">Quotation Estimate</w:t>
      </w:r>
      <w:r>
        <w:t xml:space="preserve">. All amounts are exclusive of Value Added Tax (VAT) at the applicable Kazakhstan rate of 12%,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Economist — Monthly Professional Fee (full-time engagement, Kazakhstan Almaty based)</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Macroeconomic &amp; Sector Research Reports (4 comprehensive reports per year)</w:t>
            </w:r>
          </w:p>
        </w:tc>
        <w:tc>
          <w:tcPr/>
          <w:p>
            <w:pPr>
              <w:pStyle w:val="Compact"/>
              <w:jc w:val="left"/>
            </w:pPr>
            <w:r>
              <w:t xml:space="preserve">4 reports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3</w:t>
            </w:r>
          </w:p>
        </w:tc>
        <w:tc>
          <w:tcPr/>
          <w:p>
            <w:pPr>
              <w:pStyle w:val="Compact"/>
              <w:jc w:val="left"/>
            </w:pPr>
            <w:r>
              <w:t xml:space="preserve">Strategic Advisory Sessions (8 hours/month, in-person at Kazakhstan Almaty office)</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Policy &amp; Regulatory Monitoring Service (monthly briefing memoranda)</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Stakeholder Engagement &amp; Forum Representation (up to 6 events per year in Kazakhstan Almaty and Astana)</w:t>
            </w:r>
          </w:p>
        </w:tc>
        <w:tc>
          <w:tcPr/>
          <w:p>
            <w:pPr>
              <w:pStyle w:val="Compact"/>
              <w:jc w:val="left"/>
            </w:pPr>
            <w:r>
              <w:t xml:space="preserve">Annual</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Economic Intelligence Database Setup &amp; Bi-weekly Updates</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Travel &amp; Logistics within Kazakhstan Almaty and inter-city travel (Astana, Shymkent, Karaganda)</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Administrative &amp; Coordination Overhead (project management, document handling, translation services)</w:t>
            </w:r>
          </w:p>
        </w:tc>
        <w:tc>
          <w:tcPr/>
          <w:p>
            <w:pPr>
              <w:pStyle w:val="Compact"/>
              <w:jc w:val="left"/>
            </w:pPr>
            <w:r>
              <w:t xml:space="preserve">12 months</w:t>
            </w:r>
          </w:p>
        </w:tc>
        <w:tc>
          <w:tcPr/>
          <w:p>
            <w:pPr>
              <w:pStyle w:val="Compact"/>
              <w:jc w:val="left"/>
            </w:pPr>
            <w:r>
              <w:t xml:space="preserve">$750.00</w:t>
            </w:r>
          </w:p>
        </w:tc>
        <w:tc>
          <w:tcPr/>
          <w:p>
            <w:pPr>
              <w:pStyle w:val="Compact"/>
              <w:jc w:val="left"/>
            </w:pPr>
            <w:r>
              <w:t xml:space="preserve">$9,000.00</w:t>
            </w:r>
          </w:p>
        </w:tc>
      </w:tr>
      <w:tr>
        <w:tc>
          <w:tcPr>
            <w:gridSpan w:val="4"/>
          </w:tcPr>
          <w:p>
            <w:pPr>
              <w:pStyle w:val="Compact"/>
              <w:jc w:val="left"/>
            </w:pPr>
            <w:r>
              <w:t xml:space="preserve">Subtotal (Excluding VAT)</w:t>
            </w:r>
          </w:p>
        </w:tc>
        <w:tc>
          <w:tcPr/>
          <w:p>
            <w:pPr>
              <w:pStyle w:val="Compact"/>
              <w:jc w:val="left"/>
            </w:pPr>
            <w:r>
              <w:t xml:space="preserve">$202,400.00</w:t>
            </w:r>
          </w:p>
        </w:tc>
      </w:tr>
      <w:tr>
        <w:tc>
          <w:tcPr>
            <w:gridSpan w:val="4"/>
          </w:tcPr>
          <w:p>
            <w:pPr>
              <w:pStyle w:val="Compact"/>
              <w:jc w:val="left"/>
            </w:pPr>
            <w:r>
              <w:t xml:space="preserve">VAT @ 12% (Kazakhstan)</w:t>
            </w:r>
          </w:p>
        </w:tc>
        <w:tc>
          <w:tcPr/>
          <w:p>
            <w:pPr>
              <w:pStyle w:val="Compact"/>
              <w:jc w:val="left"/>
            </w:pPr>
            <w:r>
              <w:t xml:space="preserve">$24,288.00</w:t>
            </w:r>
          </w:p>
        </w:tc>
      </w:tr>
      <w:tr>
        <w:tc>
          <w:tcPr>
            <w:gridSpan w:val="4"/>
          </w:tcPr>
          <w:p>
            <w:pPr>
              <w:pStyle w:val="Compact"/>
              <w:jc w:val="left"/>
            </w:pPr>
            <w:r>
              <w:rPr>
                <w:bCs/>
                <w:b/>
              </w:rPr>
              <w:t xml:space="preserve">TOTAL AMOUNT DUE (Including VAT)</w:t>
            </w:r>
          </w:p>
        </w:tc>
        <w:tc>
          <w:tcPr/>
          <w:p>
            <w:pPr>
              <w:pStyle w:val="Compact"/>
              <w:jc w:val="left"/>
            </w:pPr>
            <w:r>
              <w:rPr>
                <w:bCs/>
                <w:b/>
              </w:rPr>
              <w:t xml:space="preserve">$226,688.00</w:t>
            </w:r>
          </w:p>
        </w:tc>
      </w:tr>
    </w:tbl>
    <w:bookmarkEnd w:id="23"/>
    <w:bookmarkStart w:id="24" w:name="payment-terms"/>
    <w:p>
      <w:pPr>
        <w:pStyle w:val="Heading2"/>
      </w:pPr>
      <w:r>
        <w:t xml:space="preserve">4. Payment Terms</w:t>
      </w:r>
    </w:p>
    <w:p>
      <w:pPr>
        <w:numPr>
          <w:ilvl w:val="0"/>
          <w:numId w:val="1002"/>
        </w:numPr>
        <w:pStyle w:val="Compact"/>
      </w:pPr>
      <w:r>
        <w:t xml:space="preserve">An initial mobilization payment of 25% of the total Quotation Estimate value shall be due within 10 business days of contract execution.</w:t>
      </w:r>
    </w:p>
    <w:p>
      <w:pPr>
        <w:numPr>
          <w:ilvl w:val="0"/>
          <w:numId w:val="1002"/>
        </w:numPr>
        <w:pStyle w:val="Compact"/>
      </w:pPr>
      <w:r>
        <w:t xml:space="preserve">Remaining 75% shall be invoiced in equal monthly installments, payable within 30 days of invoice date via wire transfer to the designated Kazakhstan Almaty bank account.</w:t>
      </w:r>
    </w:p>
    <w:p>
      <w:pPr>
        <w:numPr>
          <w:ilvl w:val="0"/>
          <w:numId w:val="1002"/>
        </w:numPr>
        <w:pStyle w:val="Compact"/>
      </w:pPr>
      <w:r>
        <w:t xml:space="preserve">All payments shall be made in US Dollars or Kazakhstani Tenge at the National Bank of Kazakhstan (NKB) reference rate on the date of invoicing.</w:t>
      </w:r>
    </w:p>
    <w:p>
      <w:pPr>
        <w:numPr>
          <w:ilvl w:val="0"/>
          <w:numId w:val="1002"/>
        </w:numPr>
        <w:pStyle w:val="Compact"/>
      </w:pPr>
      <w:r>
        <w:t xml:space="preserve">Late payments shall accrue interest at a rate of 1.5% per month, in accordance with Kazakhstan commercial law.</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90 calendar days from the date of issue. Beyond this period, all rates and the Economist fee structure may be subject to revision based on prevailing Kazakhstan Almaty market conditions.</w:t>
      </w:r>
    </w:p>
    <w:p>
      <w:pPr>
        <w:numPr>
          <w:ilvl w:val="0"/>
          <w:numId w:val="1003"/>
        </w:numPr>
        <w:pStyle w:val="Compact"/>
      </w:pPr>
      <w:r>
        <w:t xml:space="preserve">The Economist shall be engaged on a fixed-term contract of twelve (12) months, renewable by mutual written agreement. Termination by either party requires 60 days' written notice.</w:t>
      </w:r>
    </w:p>
    <w:p>
      <w:pPr>
        <w:numPr>
          <w:ilvl w:val="0"/>
          <w:numId w:val="1003"/>
        </w:numPr>
        <w:pStyle w:val="Compact"/>
      </w:pPr>
      <w:r>
        <w:t xml:space="preserve">All deliverables, reports, and data produced under this engagement shall remain the exclusive intellectual property of the client, subject to the Economist's right to anonymized academic reference.</w:t>
      </w:r>
    </w:p>
    <w:p>
      <w:pPr>
        <w:numPr>
          <w:ilvl w:val="0"/>
          <w:numId w:val="1003"/>
        </w:numPr>
        <w:pStyle w:val="Compact"/>
      </w:pPr>
      <w:r>
        <w:t xml:space="preserve">The Economist shall comply with all applicable laws of the Republic of Kazakhstan, including but not limited to data protection regulations, anti-money laundering statutes, and professional conduct standards set by the Kazakhstan Association of Economists.</w:t>
      </w:r>
    </w:p>
    <w:p>
      <w:pPr>
        <w:numPr>
          <w:ilvl w:val="0"/>
          <w:numId w:val="1003"/>
        </w:numPr>
        <w:pStyle w:val="Compact"/>
      </w:pPr>
      <w:r>
        <w:t xml:space="preserve">Confidentiality obligations shall survive the termination of this engagement for a period of three (3) years.</w:t>
      </w:r>
    </w:p>
    <w:p>
      <w:pPr>
        <w:numPr>
          <w:ilvl w:val="0"/>
          <w:numId w:val="1003"/>
        </w:numPr>
        <w:pStyle w:val="Compact"/>
      </w:pPr>
      <w:r>
        <w:t xml:space="preserve">Any disputes arising from this Quotation Estimate or the resulting contract shall be resolved through arbitration in Kazakhstan Almaty under the rules of the Astana International Arbitration Centre (AIAC).</w:t>
      </w:r>
    </w:p>
    <w:p>
      <w:pPr>
        <w:numPr>
          <w:ilvl w:val="0"/>
          <w:numId w:val="1003"/>
        </w:numPr>
        <w:pStyle w:val="Compact"/>
      </w:pPr>
      <w:r>
        <w:t xml:space="preserve">This Quotation Estimate does not constitute a guarantee of specific economic outcomes. The Economist's role is advisory and analytical in nature.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schedule outlined herein for the engagement of the</w:t>
      </w:r>
      <w:r>
        <w:t xml:space="preserve"> </w:t>
      </w:r>
      <w:r>
        <w:t xml:space="preserve">Economist</w:t>
      </w:r>
      <w:r>
        <w:t xml:space="preserve"> </w:t>
      </w:r>
      <w:r>
        <w:t xml:space="preserve">in</w:t>
      </w:r>
      <w:r>
        <w:t xml:space="preserve"> </w:t>
      </w:r>
      <w:r>
        <w:t xml:space="preserve">Kazakhstan Almaty</w:t>
      </w:r>
      <w:r>
        <w:t xml:space="preserve">. Upon countersignature by both parties, this document shall serve as the basis for the formal service agreement.</w:t>
      </w:r>
    </w:p>
    <w:p>
      <w:pPr>
        <w:pStyle w:val="BodyText"/>
      </w:pPr>
      <w:r>
        <w:rPr>
          <w:bCs/>
          <w:b/>
        </w:rPr>
        <w:t xml:space="preserve">For and on behalf of Central Asia Professional Services LLP</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Important Notice:</w:t>
      </w:r>
      <w:r>
        <w:t xml:space="preserve"> </w:t>
      </w:r>
      <w:r>
        <w:t xml:space="preserve">This Quotation Estimate document (Ref: QE-KZ-ALM-2025-0472) is prepared exclusively for the named client and may not be reproduced, distributed, or used for any other purpose without prior written consent from Central Asia Professional Services LLP. All economic projections and forecasts referenced in the scope of services are based on available data as of the date of issue and are subject to revision. The Economist's engagement is governed by the laws of the Republic of Kazakhstan. For inquiries regarding this Quotation Estimate, please contact our Kazakhstan Almaty office at +7 (727) 555-0142 or email: quotations@capro-almaty.kz.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Kazakhstan Almaty</dc:title>
  <dc:creator/>
  <dc:language>en</dc:language>
  <cp:keywords/>
  <dcterms:created xsi:type="dcterms:W3CDTF">2026-10-10T07:36:13Z</dcterms:created>
  <dcterms:modified xsi:type="dcterms:W3CDTF">2026-10-10T07:36:13Z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