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Economist Engagement Services</w:t>
      </w:r>
    </w:p>
    <w:p>
      <w:pPr>
        <w:pStyle w:val="BodyText"/>
      </w:pPr>
      <w:r>
        <w:t xml:space="preserve">Prepared for: Kuwait, Kuwait City</w:t>
      </w:r>
    </w:p>
    <w:p>
      <w:pPr>
        <w:pStyle w:val="BodyText"/>
      </w:pPr>
      <w:r>
        <w:t xml:space="preserve">Document Reference: QE-KWT-2025-0487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QE-KWT-2025-0487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By</w:t>
            </w:r>
          </w:p>
        </w:tc>
        <w:tc>
          <w:tcPr/>
          <w:p>
            <w:pPr>
              <w:pStyle w:val="Compact"/>
              <w:jc w:val="left"/>
            </w:pPr>
            <w:r>
              <w:t xml:space="preserve">Meridian Economic Advisory Group, LLC</w:t>
            </w:r>
          </w:p>
        </w:tc>
      </w:tr>
      <w:tr>
        <w:tc>
          <w:tcPr/>
          <w:p>
            <w:pPr>
              <w:pStyle w:val="Compact"/>
              <w:jc w:val="left"/>
            </w:pPr>
            <w:r>
              <w:t xml:space="preserve">Prepared For</w:t>
            </w:r>
          </w:p>
        </w:tc>
        <w:tc>
          <w:tcPr/>
          <w:p>
            <w:pPr>
              <w:pStyle w:val="Compact"/>
              <w:jc w:val="left"/>
            </w:pPr>
            <w:r>
              <w:t xml:space="preserve">Client Organization, Kuwait, Kuwait City</w:t>
            </w:r>
          </w:p>
        </w:tc>
      </w:tr>
      <w:tr>
        <w:tc>
          <w:tcPr/>
          <w:p>
            <w:pPr>
              <w:pStyle w:val="Compact"/>
              <w:jc w:val="left"/>
            </w:pPr>
            <w:r>
              <w:t xml:space="preserve">Service Location</w:t>
            </w:r>
          </w:p>
        </w:tc>
        <w:tc>
          <w:tcPr/>
          <w:p>
            <w:pPr>
              <w:pStyle w:val="Compact"/>
              <w:jc w:val="left"/>
            </w:pPr>
            <w:r>
              <w:t xml:space="preserve">Kuwait City, State of Kuwait</w:t>
            </w:r>
          </w:p>
        </w:tc>
      </w:tr>
      <w:tr>
        <w:tc>
          <w:tcPr/>
          <w:p>
            <w:pPr>
              <w:pStyle w:val="Compact"/>
              <w:jc w:val="left"/>
            </w:pPr>
            <w:r>
              <w:t xml:space="preserve">Currency</w:t>
            </w:r>
          </w:p>
        </w:tc>
        <w:tc>
          <w:tcPr/>
          <w:p>
            <w:pPr>
              <w:pStyle w:val="Compact"/>
              <w:jc w:val="left"/>
            </w:pPr>
            <w:r>
              <w:t xml:space="preserve">Kuwaiti Dinar (KWD)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Meridian Economic Advisory Group, LLC to provide a comprehensive and transparent financial breakdown for the engagement of a senior</w:t>
      </w:r>
      <w:r>
        <w:t xml:space="preserve"> </w:t>
      </w:r>
      <w:r>
        <w:t xml:space="preserve">Economist</w:t>
      </w:r>
      <w:r>
        <w:t xml:space="preserve"> </w:t>
      </w:r>
      <w:r>
        <w:t xml:space="preserve">to deliver specialized advisory, analytical, and consulting services within the jurisdiction of</w:t>
      </w:r>
      <w:r>
        <w:t xml:space="preserve"> </w:t>
      </w:r>
      <w:r>
        <w:t xml:space="preserve">Kuwait, Kuwait City</w:t>
      </w:r>
      <w:r>
        <w:t xml:space="preserve">. This Quotation Estimate outlines all anticipated costs, deliverables, timelines, and terms governing the professional relationship between the service provider and the client. The Economist engagement is specifically tailored to address the unique economic landscape of Kuwait, including its oil-dependent revenue structure, Vision 2035 diversification goals, and the regulatory framework administered by the Central Bank of Kuwait and the Ministry of Finance in Kuwait City.</w:t>
      </w:r>
    </w:p>
    <w:bookmarkEnd w:id="21"/>
    <w:bookmarkStart w:id="22" w:name="scope-of-services-economist-engagement"/>
    <w:p>
      <w:pPr>
        <w:pStyle w:val="Heading2"/>
      </w:pPr>
      <w:r>
        <w:t xml:space="preserve">2. Scope of Services – Economist Engagement</w:t>
      </w:r>
    </w:p>
    <w:p>
      <w:pPr>
        <w:pStyle w:val="FirstParagraph"/>
      </w:pPr>
      <w:r>
        <w:t xml:space="preserve">The following services are included under this Quotation Estimate for the Economist engagement in Kuwait, Kuwait City:</w:t>
      </w:r>
    </w:p>
    <w:p>
      <w:pPr>
        <w:numPr>
          <w:ilvl w:val="0"/>
          <w:numId w:val="1001"/>
        </w:numPr>
        <w:pStyle w:val="Compact"/>
      </w:pPr>
      <w:r>
        <w:rPr>
          <w:bCs/>
          <w:b/>
        </w:rPr>
        <w:t xml:space="preserve">Macroeconomic Analysis:</w:t>
      </w:r>
      <w:r>
        <w:t xml:space="preserve"> </w:t>
      </w:r>
      <w:r>
        <w:t xml:space="preserve">The Economist will conduct a thorough assessment of Kuwait's current macroeconomic indicators, including GDP growth projections, inflation trends, fiscal balance analysis, and public debt sustainability, specifically contextualized for the Kuwait City metropolitan economic zone.</w:t>
      </w:r>
    </w:p>
    <w:p>
      <w:pPr>
        <w:numPr>
          <w:ilvl w:val="0"/>
          <w:numId w:val="1001"/>
        </w:numPr>
        <w:pStyle w:val="Compact"/>
      </w:pPr>
      <w:r>
        <w:rPr>
          <w:bCs/>
          <w:b/>
        </w:rPr>
        <w:t xml:space="preserve">Policy Advisory:</w:t>
      </w:r>
      <w:r>
        <w:t xml:space="preserve"> </w:t>
      </w:r>
      <w:r>
        <w:t xml:space="preserve">Provision of strategic economic policy recommendations aligned with Kuwait's National Development Vision, focusing on non-oil sector growth, private sector stimulation, and human capital development within Kuwait City and surrounding governorates.</w:t>
      </w:r>
    </w:p>
    <w:p>
      <w:pPr>
        <w:numPr>
          <w:ilvl w:val="0"/>
          <w:numId w:val="1001"/>
        </w:numPr>
        <w:pStyle w:val="Compact"/>
      </w:pPr>
      <w:r>
        <w:rPr>
          <w:bCs/>
          <w:b/>
        </w:rPr>
        <w:t xml:space="preserve">Market Research &amp; Forecasting:</w:t>
      </w:r>
      <w:r>
        <w:t xml:space="preserve"> </w:t>
      </w:r>
      <w:r>
        <w:t xml:space="preserve">Development of detailed market entry analyses, sector-specific forecasts, and competitive landscape assessments for the Kuwaiti market, with particular emphasis on the financial district in Kuwait City.</w:t>
      </w:r>
    </w:p>
    <w:p>
      <w:pPr>
        <w:numPr>
          <w:ilvl w:val="0"/>
          <w:numId w:val="1001"/>
        </w:numPr>
        <w:pStyle w:val="Compact"/>
      </w:pPr>
      <w:r>
        <w:rPr>
          <w:bCs/>
          <w:b/>
        </w:rPr>
        <w:t xml:space="preserve">Regulatory Compliance Review:</w:t>
      </w:r>
      <w:r>
        <w:t xml:space="preserve"> </w:t>
      </w:r>
      <w:r>
        <w:t xml:space="preserve">Assessment of the Economist's recommendations against the regulatory requirements of the Central Bank of Kuwait, the Public Authority for Manpower, and relevant Kuwaiti commercial laws applicable in Kuwait City.</w:t>
      </w:r>
    </w:p>
    <w:p>
      <w:pPr>
        <w:numPr>
          <w:ilvl w:val="0"/>
          <w:numId w:val="1001"/>
        </w:numPr>
        <w:pStyle w:val="Compact"/>
      </w:pPr>
      <w:r>
        <w:rPr>
          <w:bCs/>
          <w:b/>
        </w:rPr>
        <w:t xml:space="preserve">Stakeholder Presentations:</w:t>
      </w:r>
      <w:r>
        <w:t xml:space="preserve"> </w:t>
      </w:r>
      <w:r>
        <w:t xml:space="preserve">Preparation and delivery of up to four (4) formal presentations to senior leadership, government officials, or board members located in Kuwait, Kuwait City, summarizing key economic findings and strategic recommendations.</w:t>
      </w:r>
    </w:p>
    <w:p>
      <w:pPr>
        <w:numPr>
          <w:ilvl w:val="0"/>
          <w:numId w:val="1001"/>
        </w:numPr>
        <w:pStyle w:val="Compact"/>
      </w:pPr>
      <w:r>
        <w:rPr>
          <w:bCs/>
          <w:b/>
        </w:rPr>
        <w:t xml:space="preserve">Written Reports:</w:t>
      </w:r>
      <w:r>
        <w:t xml:space="preserve"> </w:t>
      </w:r>
      <w:r>
        <w:t xml:space="preserve">Delivery of three (3) comprehensive written economic reports, each no fewer than 40 pages, providing in-depth analysis, data visualizations, and actionable recommendations specific to the Kuwaiti economic environment.</w:t>
      </w:r>
    </w:p>
    <w:p>
      <w:pPr>
        <w:numPr>
          <w:ilvl w:val="0"/>
          <w:numId w:val="1001"/>
        </w:numPr>
        <w:pStyle w:val="Compact"/>
      </w:pPr>
      <w:r>
        <w:rPr>
          <w:bCs/>
          <w:b/>
        </w:rPr>
        <w:t xml:space="preserve">Ongoing Consultation:</w:t>
      </w:r>
      <w:r>
        <w:t xml:space="preserve"> </w:t>
      </w:r>
      <w:r>
        <w:t xml:space="preserve">Availability for ad-hoc consultation sessions (up to 20 hours per month) via in-person meetings in Kuwait City or virtual channels, ensuring continuous Economist support throughout the engagement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Economist – Monthly Retainer (on-site in Kuwait City)</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Macroeconomic Analysis &amp; Data Modeling</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Policy Advisory &amp; Strategic Recommendations</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Market Research &amp; Sector Forecasting (Kuwait City focus)</w:t>
            </w:r>
          </w:p>
        </w:tc>
        <w:tc>
          <w:tcPr/>
          <w:p>
            <w:pPr>
              <w:pStyle w:val="Compact"/>
              <w:jc w:val="left"/>
            </w:pPr>
            <w:r>
              <w:t xml:space="preserve">1 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Regulatory Compliance Review &amp; Legal Coordination</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Stakeholder Presentations (4 sessions in Kuwait City)</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Comprehensive Written Economic Reports (3 reports)</w:t>
            </w:r>
          </w:p>
        </w:tc>
        <w:tc>
          <w:tcPr/>
          <w:p>
            <w:pPr>
              <w:pStyle w:val="Compact"/>
              <w:jc w:val="left"/>
            </w:pPr>
            <w:r>
              <w:t xml:space="preserve">3 reports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Travel, Accommodation &amp; Local Transportation (Kuwait City)</w:t>
            </w:r>
          </w:p>
        </w:tc>
        <w:tc>
          <w:tcPr/>
          <w:p>
            <w:pPr>
              <w:pStyle w:val="Compact"/>
              <w:jc w:val="left"/>
            </w:pPr>
            <w:r>
              <w:t xml:space="preserve">6 months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09</w:t>
            </w:r>
          </w:p>
        </w:tc>
        <w:tc>
          <w:tcPr/>
          <w:p>
            <w:pPr>
              <w:pStyle w:val="Compact"/>
              <w:jc w:val="left"/>
            </w:pPr>
            <w:r>
              <w:t xml:space="preserve">Software Licenses, Data Subscriptions &amp; Research Tools</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10</w:t>
            </w:r>
          </w:p>
        </w:tc>
        <w:tc>
          <w:tcPr/>
          <w:p>
            <w:pPr>
              <w:pStyle w:val="Compact"/>
              <w:jc w:val="left"/>
            </w:pPr>
            <w:r>
              <w:t xml:space="preserve">Project Management &amp; Administrative Overhead</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gridSpan w:val="4"/>
          </w:tcPr>
          <w:p>
            <w:pPr>
              <w:pStyle w:val="Compact"/>
              <w:jc w:val="right"/>
            </w:pPr>
            <w:r>
              <w:t xml:space="preserve">Subtotal</w:t>
            </w:r>
          </w:p>
        </w:tc>
        <w:tc>
          <w:tcPr/>
          <w:p>
            <w:pPr>
              <w:pStyle w:val="Compact"/>
              <w:jc w:val="left"/>
            </w:pPr>
            <w:r>
              <w:t xml:space="preserve">113,700.00</w:t>
            </w:r>
          </w:p>
        </w:tc>
      </w:tr>
      <w:tr>
        <w:tc>
          <w:tcPr>
            <w:gridSpan w:val="4"/>
          </w:tcPr>
          <w:p>
            <w:pPr>
              <w:pStyle w:val="Compact"/>
              <w:jc w:val="right"/>
            </w:pPr>
            <w:r>
              <w:t xml:space="preserve">VAT (5% – Kuwait)</w:t>
            </w:r>
          </w:p>
        </w:tc>
        <w:tc>
          <w:tcPr/>
          <w:p>
            <w:pPr>
              <w:pStyle w:val="Compact"/>
              <w:jc w:val="left"/>
            </w:pPr>
            <w:r>
              <w:t xml:space="preserve">5,685.00</w:t>
            </w:r>
          </w:p>
        </w:tc>
      </w:tr>
      <w:tr>
        <w:tc>
          <w:tcPr>
            <w:gridSpan w:val="4"/>
          </w:tcPr>
          <w:p>
            <w:pPr>
              <w:pStyle w:val="Compact"/>
              <w:jc w:val="right"/>
            </w:pPr>
            <w:r>
              <w:t xml:space="preserve">TOTAL AMOUNT DUE</w:t>
            </w:r>
          </w:p>
        </w:tc>
        <w:tc>
          <w:tcPr/>
          <w:p>
            <w:pPr>
              <w:pStyle w:val="Compact"/>
              <w:jc w:val="left"/>
            </w:pPr>
            <w:r>
              <w:t xml:space="preserve">119,385.00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Payment shall be made in Kuwaiti Dinars (KWD) via bank transfer to the designated account of Meridian Economic Advisory Group, LLC. All payments referenced in this Quotation Estimate are subject to the prevailing exchange rates as published by the Central Bank of Kuwait on the date of invoicing.</w:t>
      </w:r>
    </w:p>
    <w:p>
      <w:pPr>
        <w:pStyle w:val="BodyText"/>
      </w:pPr>
      <w:r>
        <w:rPr>
          <w:bCs/>
          <w:b/>
        </w:rPr>
        <w:t xml:space="preserve">4.2</w:t>
      </w:r>
      <w:r>
        <w:t xml:space="preserve"> </w:t>
      </w:r>
      <w:r>
        <w:t xml:space="preserve">A mobilization advance of 25% (KWD 29,846.25) is due upon acceptance of this Quotation Estimate and execution of the formal service agreement in Kuwait City.</w:t>
      </w:r>
    </w:p>
    <w:p>
      <w:pPr>
        <w:pStyle w:val="BodyText"/>
      </w:pPr>
      <w:r>
        <w:rPr>
          <w:bCs/>
          <w:b/>
        </w:rPr>
        <w:t xml:space="preserve">4.3</w:t>
      </w:r>
      <w:r>
        <w:t xml:space="preserve"> </w:t>
      </w:r>
      <w:r>
        <w:t xml:space="preserve">The remaining balance shall be invoiced in equal monthly installments of KWD 16,051.25, payable within fourteen (14) calendar days of each invoice date.</w:t>
      </w:r>
    </w:p>
    <w:p>
      <w:pPr>
        <w:pStyle w:val="BodyText"/>
      </w:pPr>
      <w:r>
        <w:rPr>
          <w:bCs/>
          <w:b/>
        </w:rPr>
        <w:t xml:space="preserve">4.4</w:t>
      </w:r>
      <w:r>
        <w:t xml:space="preserve"> </w:t>
      </w:r>
      <w:r>
        <w:t xml:space="preserve">Late payments shall attract a penalty interest of 2% per month, calculated on the outstanding balance, in accordance with Kuwaiti commercial law provisions applicable in Kuwait City.</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days from the date of issue. Beyond this period, all rates and terms are subject to revision based on market conditions in Kuwait.</w:t>
      </w:r>
    </w:p>
    <w:p>
      <w:pPr>
        <w:pStyle w:val="BodyText"/>
      </w:pPr>
      <w:r>
        <w:rPr>
          <w:bCs/>
          <w:b/>
        </w:rPr>
        <w:t xml:space="preserve">5.2</w:t>
      </w:r>
      <w:r>
        <w:t xml:space="preserve"> </w:t>
      </w:r>
      <w:r>
        <w:t xml:space="preserve">The Economist engaged under this Quotation Estimate shall maintain strict confidentiality regarding all client data, proprietary information, and economic analyses conducted in Kuwait, Kuwait City. A separate Non-Disclosure Agreement (NDA) shall be executed prior to the commencement of services.</w:t>
      </w:r>
    </w:p>
    <w:p>
      <w:pPr>
        <w:pStyle w:val="BodyText"/>
      </w:pPr>
      <w:r>
        <w:rPr>
          <w:bCs/>
          <w:b/>
        </w:rPr>
        <w:t xml:space="preserve">5.3</w:t>
      </w:r>
      <w:r>
        <w:t xml:space="preserve"> </w:t>
      </w:r>
      <w:r>
        <w:t xml:space="preserve">The service provider reserves the right to substitute the assigned Economist with a professional of equivalent or superior qualifications, subject to prior written approval by the client.</w:t>
      </w:r>
    </w:p>
    <w:p>
      <w:pPr>
        <w:pStyle w:val="BodyText"/>
      </w:pPr>
      <w:r>
        <w:rPr>
          <w:bCs/>
          <w:b/>
        </w:rPr>
        <w:t xml:space="preserve">5.4</w:t>
      </w:r>
      <w:r>
        <w:t xml:space="preserve"> </w:t>
      </w:r>
      <w:r>
        <w:t xml:space="preserve">All deliverables, including reports, presentations, and analytical models produced under this engagement, shall become the sole property of the client upon full and final payment of all amounts stipulated in this Quotation Estimate.</w:t>
      </w:r>
    </w:p>
    <w:p>
      <w:pPr>
        <w:pStyle w:val="BodyText"/>
      </w:pPr>
      <w:r>
        <w:rPr>
          <w:bCs/>
          <w:b/>
        </w:rPr>
        <w:t xml:space="preserve">5.5</w:t>
      </w:r>
      <w:r>
        <w:t xml:space="preserve"> </w:t>
      </w:r>
      <w:r>
        <w:t xml:space="preserve">This Quotation Estimate does not constitute a binding contract until both parties have executed the formal Service Agreement. The terms herein are indicative and subject to final negotiation.</w:t>
      </w:r>
    </w:p>
    <w:p>
      <w:pPr>
        <w:pStyle w:val="BodyText"/>
      </w:pPr>
      <w:r>
        <w:rPr>
          <w:bCs/>
          <w:b/>
        </w:rPr>
        <w:t xml:space="preserve">5.6</w:t>
      </w:r>
      <w:r>
        <w:t xml:space="preserve"> </w:t>
      </w:r>
      <w:r>
        <w:t xml:space="preserve">Any disputes arising from this Quotation Estimate or the subsequent service agreement shall be resolved through arbitration in Kuwait City, in accordance with the Kuwaiti Arbitration Law, and the governing law shall be the laws of the State of Kuwait.</w:t>
      </w:r>
    </w:p>
    <w:p>
      <w:pPr>
        <w:pStyle w:val="BodyText"/>
      </w:pPr>
      <w:r>
        <w:rPr>
          <w:bCs/>
          <w:b/>
        </w:rPr>
        <w:t xml:space="preserve">5.7</w:t>
      </w:r>
      <w:r>
        <w:t xml:space="preserve"> </w:t>
      </w:r>
      <w:r>
        <w:t xml:space="preserve">The Economist shall comply with all applicable Kuwaiti labor regulations, visa requirements, and professional licensing mandates as enforced by the relevant authorities in Kuwait City.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confirms that the terms, conditions, and financial figures presented herein for the Economist engagement in Kuwait, Kuwait City, are acceptable and agreed upon.</w:t>
      </w:r>
    </w:p>
    <w:p>
      <w:pPr>
        <w:pStyle w:val="BodyText"/>
      </w:pPr>
      <w:r>
        <w:rPr>
          <w:bCs/>
          <w:b/>
        </w:rPr>
        <w:t xml:space="preserve">For: Meridian Economic Advisory Group, LLC</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Client Organization, Kuwait City</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Meridian Economic Advisory Group, LLC | Office: Al Hamra Tower, 12th Floor, Kuwait City, State of Kuwait</w:t>
      </w:r>
    </w:p>
    <w:p>
      <w:pPr>
        <w:pStyle w:val="BodyText"/>
      </w:pPr>
      <w:r>
        <w:t xml:space="preserve">Email: inquiries@meridian-econ.com | Tel: +965-2244-XXXX</w:t>
      </w:r>
    </w:p>
    <w:p>
      <w:pPr>
        <w:pStyle w:val="BodyText"/>
      </w:pPr>
      <w:r>
        <w:t xml:space="preserve">This Quotation Estimate is a confidential document intended solely for the named recipient. Unauthorized distribution is prohibited.</w:t>
      </w:r>
    </w:p>
    <w:p>
      <w:pPr>
        <w:pStyle w:val="BodyText"/>
      </w:pPr>
      <w:r>
        <w:t xml:space="preserve">Document QE-KWT-2025-0487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Kuwait Kuwait City</dc:title>
  <dc:creator/>
  <dc:language>en</dc:language>
  <cp:keywords/>
  <dcterms:created xsi:type="dcterms:W3CDTF">2026-10-10T07:35:45Z</dcterms:created>
  <dcterms:modified xsi:type="dcterms:W3CDTF">2026-10-10T07:35:45Z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