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Economist Engagement Services</w:t>
      </w:r>
    </w:p>
    <w:p>
      <w:pPr>
        <w:pStyle w:val="BodyText"/>
      </w:pPr>
      <w:r>
        <w:t xml:space="preserve">Amsterdam, Netherlands</w:t>
      </w:r>
    </w:p>
    <w:p>
      <w:pPr>
        <w:pStyle w:val="BodyText"/>
      </w:pPr>
      <w:r>
        <w:t xml:space="preserve">Document Reference: QE-2025-AMST-0472</w:t>
      </w:r>
    </w:p>
    <w:bookmarkEnd w:id="20"/>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Quotation Estimate No.:</w:t>
      </w:r>
      <w:r>
        <w:t xml:space="preserve"> </w:t>
      </w:r>
      <w:r>
        <w:t xml:space="preserve">QE-2025-AMST-0472</w:t>
      </w:r>
    </w:p>
    <w:p>
      <w:pPr>
        <w:pStyle w:val="BodyText"/>
      </w:pPr>
      <w:r>
        <w:rPr>
          <w:bCs/>
          <w:b/>
        </w:rPr>
        <w:t xml:space="preserve">Prepared By:</w:t>
      </w:r>
      <w:r>
        <w:t xml:space="preserve"> </w:t>
      </w:r>
      <w:r>
        <w:t xml:space="preserve">Meridian Economic Advisory B.V.</w:t>
      </w:r>
      <w:r>
        <w:br/>
      </w:r>
      <w:r>
        <w:rPr>
          <w:bCs/>
          <w:b/>
        </w:rPr>
        <w:t xml:space="preserve">Address:</w:t>
      </w:r>
      <w:r>
        <w:t xml:space="preserve"> </w:t>
      </w:r>
      <w:r>
        <w:t xml:space="preserve">Herengracht 420, 1017 BX Amsterdam</w:t>
      </w:r>
      <w:r>
        <w:br/>
      </w:r>
      <w:r>
        <w:rPr>
          <w:bCs/>
          <w:b/>
        </w:rPr>
        <w:t xml:space="preserve">Contact:</w:t>
      </w:r>
      <w:r>
        <w:t xml:space="preserve"> </w:t>
      </w:r>
      <w:r>
        <w:t xml:space="preserve">quotations@meridian-econ.nl</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Stadsontwikkeling Amsterdam N.V.</w:t>
            </w:r>
          </w:p>
        </w:tc>
      </w:tr>
      <w:tr>
        <w:tc>
          <w:tcPr/>
          <w:p>
            <w:pPr>
              <w:pStyle w:val="Compact"/>
              <w:jc w:val="left"/>
            </w:pPr>
            <w:r>
              <w:rPr>
                <w:bCs/>
                <w:b/>
              </w:rPr>
              <w:t xml:space="preserve">Client Address:</w:t>
            </w:r>
          </w:p>
        </w:tc>
        <w:tc>
          <w:tcPr/>
          <w:p>
            <w:pPr>
              <w:pStyle w:val="Compact"/>
              <w:jc w:val="left"/>
            </w:pPr>
            <w:r>
              <w:t xml:space="preserve">Westerdok 12, 1013 AB Amsterdam, Netherlands</w:t>
            </w:r>
          </w:p>
        </w:tc>
      </w:tr>
      <w:tr>
        <w:tc>
          <w:tcPr/>
          <w:p>
            <w:pPr>
              <w:pStyle w:val="Compact"/>
              <w:jc w:val="left"/>
            </w:pPr>
            <w:r>
              <w:rPr>
                <w:bCs/>
                <w:b/>
              </w:rPr>
              <w:t xml:space="preserve">Client Contact:</w:t>
            </w:r>
          </w:p>
        </w:tc>
        <w:tc>
          <w:tcPr/>
          <w:p>
            <w:pPr>
              <w:pStyle w:val="Compact"/>
              <w:jc w:val="left"/>
            </w:pPr>
            <w:r>
              <w:t xml:space="preserve">Mr. J. van der Berg, Director of Strategic Planning</w:t>
            </w:r>
          </w:p>
        </w:tc>
      </w:tr>
      <w:tr>
        <w:tc>
          <w:tcPr/>
          <w:p>
            <w:pPr>
              <w:pStyle w:val="Compact"/>
              <w:jc w:val="left"/>
            </w:pPr>
            <w:r>
              <w:rPr>
                <w:bCs/>
                <w:b/>
              </w:rPr>
              <w:t xml:space="preserve">Client KVK Number:</w:t>
            </w:r>
          </w:p>
        </w:tc>
        <w:tc>
          <w:tcPr/>
          <w:p>
            <w:pPr>
              <w:pStyle w:val="Compact"/>
              <w:jc w:val="left"/>
            </w:pPr>
            <w:r>
              <w:t xml:space="preserve">67432189</w:t>
            </w:r>
          </w:p>
        </w:tc>
      </w:tr>
    </w:tbl>
    <w:bookmarkEnd w:id="21"/>
    <w:bookmarkStart w:id="22" w:name="scope-of-services-economist-engagement"/>
    <w:p>
      <w:pPr>
        <w:pStyle w:val="Heading2"/>
      </w:pPr>
      <w:r>
        <w:t xml:space="preserve">2. Scope of Services – Economist Engagement</w:t>
      </w:r>
    </w:p>
    <w:p>
      <w:pPr>
        <w:pStyle w:val="FirstParagraph"/>
      </w:pPr>
      <w:r>
        <w:t xml:space="preserve">This</w:t>
      </w:r>
      <w:r>
        <w:t xml:space="preserve"> </w:t>
      </w:r>
      <w:r>
        <w:t xml:space="preserve">Quotation Estimate</w:t>
      </w:r>
      <w:r>
        <w:t xml:space="preserve"> </w:t>
      </w:r>
      <w:r>
        <w:t xml:space="preserve">outlines the comprehensive professional services to be provided by a senior</w:t>
      </w:r>
      <w:r>
        <w:t xml:space="preserve"> </w:t>
      </w:r>
      <w:r>
        <w:t xml:space="preserve">Economist</w:t>
      </w:r>
      <w:r>
        <w:t xml:space="preserve"> </w:t>
      </w:r>
      <w:r>
        <w:t xml:space="preserve">engaged by Meridian Economic Advisory B.V. for the client's strategic development programme in</w:t>
      </w:r>
      <w:r>
        <w:t xml:space="preserve"> </w:t>
      </w:r>
      <w:r>
        <w:t xml:space="preserve">Netherlands Amsterdam</w:t>
      </w:r>
      <w:r>
        <w:t xml:space="preserve">. The Economist will be responsible for conducting macroeconomic and microeconomic analyses, forecasting regional economic trends, advising on fiscal policy implications, and delivering actionable economic intelligence tailored to the unique urban and commercial landscape of Amsterdam and the broader Randstad region.</w:t>
      </w:r>
    </w:p>
    <w:p>
      <w:pPr>
        <w:pStyle w:val="BodyText"/>
      </w:pPr>
      <w:r>
        <w:t xml:space="preserve">The engagement of the Economist is structured to support the client's five-year urban development strategy, including infrastructure investment modelling, labour market projections, housing affordability analysis, and trade flow assessments specific to the port and logistics corridor of Amsterdam. All deliverables will be produced in accordance with Dutch regulatory standards and the statistical frameworks maintained by Statistics Netherlands (CBS) and the Dutch Ministry of Finance.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Economist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Economist – Macroeconomic Forecasting &amp; Regional Analysis for Netherlands Amsterdam</w:t>
            </w:r>
          </w:p>
        </w:tc>
        <w:tc>
          <w:tcPr/>
          <w:p>
            <w:pPr>
              <w:pStyle w:val="Compact"/>
              <w:jc w:val="left"/>
            </w:pPr>
            <w:r>
              <w:t xml:space="preserve">120 hours</w:t>
            </w:r>
          </w:p>
        </w:tc>
        <w:tc>
          <w:tcPr/>
          <w:p>
            <w:pPr>
              <w:pStyle w:val="Compact"/>
              <w:jc w:val="left"/>
            </w:pPr>
            <w:r>
              <w:t xml:space="preserve">€185.00/hr</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Economist – Labour Market &amp; Demographic Modelling (Amsterdam Metropolitan Area)</w:t>
            </w:r>
          </w:p>
        </w:tc>
        <w:tc>
          <w:tcPr/>
          <w:p>
            <w:pPr>
              <w:pStyle w:val="Compact"/>
              <w:jc w:val="left"/>
            </w:pPr>
            <w:r>
              <w:t xml:space="preserve">80 hours</w:t>
            </w:r>
          </w:p>
        </w:tc>
        <w:tc>
          <w:tcPr/>
          <w:p>
            <w:pPr>
              <w:pStyle w:val="Compact"/>
              <w:jc w:val="left"/>
            </w:pPr>
            <w:r>
              <w:t xml:space="preserve">€185.00/hr</w:t>
            </w:r>
          </w:p>
        </w:tc>
        <w:tc>
          <w:tcPr/>
          <w:p>
            <w:pPr>
              <w:pStyle w:val="Compact"/>
              <w:jc w:val="left"/>
            </w:pPr>
            <w:r>
              <w:t xml:space="preserve">€14,800.00</w:t>
            </w:r>
          </w:p>
        </w:tc>
      </w:tr>
      <w:tr>
        <w:tc>
          <w:tcPr/>
          <w:p>
            <w:pPr>
              <w:pStyle w:val="Compact"/>
              <w:jc w:val="left"/>
            </w:pPr>
            <w:r>
              <w:t xml:space="preserve">03</w:t>
            </w:r>
          </w:p>
        </w:tc>
        <w:tc>
          <w:tcPr/>
          <w:p>
            <w:pPr>
              <w:pStyle w:val="Compact"/>
              <w:jc w:val="left"/>
            </w:pPr>
            <w:r>
              <w:t xml:space="preserve">Economist – Fiscal Impact Assessment &amp; Municipal Revenue Projections</w:t>
            </w:r>
          </w:p>
        </w:tc>
        <w:tc>
          <w:tcPr/>
          <w:p>
            <w:pPr>
              <w:pStyle w:val="Compact"/>
              <w:jc w:val="left"/>
            </w:pPr>
            <w:r>
              <w:t xml:space="preserve">60 hours</w:t>
            </w:r>
          </w:p>
        </w:tc>
        <w:tc>
          <w:tcPr/>
          <w:p>
            <w:pPr>
              <w:pStyle w:val="Compact"/>
              <w:jc w:val="left"/>
            </w:pPr>
            <w:r>
              <w:t xml:space="preserve">€185.00/hr</w:t>
            </w:r>
          </w:p>
        </w:tc>
        <w:tc>
          <w:tcPr/>
          <w:p>
            <w:pPr>
              <w:pStyle w:val="Compact"/>
              <w:jc w:val="left"/>
            </w:pPr>
            <w:r>
              <w:t xml:space="preserve">€11,100.00</w:t>
            </w:r>
          </w:p>
        </w:tc>
      </w:tr>
      <w:tr>
        <w:tc>
          <w:tcPr/>
          <w:p>
            <w:pPr>
              <w:pStyle w:val="Compact"/>
              <w:jc w:val="left"/>
            </w:pPr>
            <w:r>
              <w:t xml:space="preserve">04</w:t>
            </w:r>
          </w:p>
        </w:tc>
        <w:tc>
          <w:tcPr/>
          <w:p>
            <w:pPr>
              <w:pStyle w:val="Compact"/>
              <w:jc w:val="left"/>
            </w:pPr>
            <w:r>
              <w:t xml:space="preserve">Economist – Trade &amp; Logistics Corridor Analysis (Port of Amsterdam)</w:t>
            </w:r>
          </w:p>
        </w:tc>
        <w:tc>
          <w:tcPr/>
          <w:p>
            <w:pPr>
              <w:pStyle w:val="Compact"/>
              <w:jc w:val="left"/>
            </w:pPr>
            <w:r>
              <w:t xml:space="preserve">50 hours</w:t>
            </w:r>
          </w:p>
        </w:tc>
        <w:tc>
          <w:tcPr/>
          <w:p>
            <w:pPr>
              <w:pStyle w:val="Compact"/>
              <w:jc w:val="left"/>
            </w:pPr>
            <w:r>
              <w:t xml:space="preserve">€185.00/hr</w:t>
            </w:r>
          </w:p>
        </w:tc>
        <w:tc>
          <w:tcPr/>
          <w:p>
            <w:pPr>
              <w:pStyle w:val="Compact"/>
              <w:jc w:val="left"/>
            </w:pPr>
            <w:r>
              <w:t xml:space="preserve">€9,250.00</w:t>
            </w:r>
          </w:p>
        </w:tc>
      </w:tr>
      <w:tr>
        <w:tc>
          <w:tcPr/>
          <w:p>
            <w:pPr>
              <w:pStyle w:val="Compact"/>
              <w:jc w:val="left"/>
            </w:pPr>
            <w:r>
              <w:t xml:space="preserve">05</w:t>
            </w:r>
          </w:p>
        </w:tc>
        <w:tc>
          <w:tcPr/>
          <w:p>
            <w:pPr>
              <w:pStyle w:val="Compact"/>
              <w:jc w:val="left"/>
            </w:pPr>
            <w:r>
              <w:t xml:space="preserve">Economist – Housing Market &amp; Affordability Study (Netherlands Amsterdam)</w:t>
            </w:r>
          </w:p>
        </w:tc>
        <w:tc>
          <w:tcPr/>
          <w:p>
            <w:pPr>
              <w:pStyle w:val="Compact"/>
              <w:jc w:val="left"/>
            </w:pPr>
            <w:r>
              <w:t xml:space="preserve">45 hours</w:t>
            </w:r>
          </w:p>
        </w:tc>
        <w:tc>
          <w:tcPr/>
          <w:p>
            <w:pPr>
              <w:pStyle w:val="Compact"/>
              <w:jc w:val="left"/>
            </w:pPr>
            <w:r>
              <w:t xml:space="preserve">€185.00/hr</w:t>
            </w:r>
          </w:p>
        </w:tc>
        <w:tc>
          <w:tcPr/>
          <w:p>
            <w:pPr>
              <w:pStyle w:val="Compact"/>
              <w:jc w:val="left"/>
            </w:pPr>
            <w:r>
              <w:t xml:space="preserve">€8,325.00</w:t>
            </w:r>
          </w:p>
        </w:tc>
      </w:tr>
      <w:tr>
        <w:tc>
          <w:tcPr/>
          <w:p>
            <w:pPr>
              <w:pStyle w:val="Compact"/>
              <w:jc w:val="left"/>
            </w:pPr>
            <w:r>
              <w:t xml:space="preserve">06</w:t>
            </w:r>
          </w:p>
        </w:tc>
        <w:tc>
          <w:tcPr/>
          <w:p>
            <w:pPr>
              <w:pStyle w:val="Compact"/>
              <w:jc w:val="left"/>
            </w:pPr>
            <w:r>
              <w:t xml:space="preserve">Economist – Quarterly Advisory Sessions &amp; Stakeholder Presentations</w:t>
            </w:r>
          </w:p>
        </w:tc>
        <w:tc>
          <w:tcPr/>
          <w:p>
            <w:pPr>
              <w:pStyle w:val="Compact"/>
              <w:jc w:val="left"/>
            </w:pPr>
            <w:r>
              <w:t xml:space="preserve">16 sessions</w:t>
            </w:r>
          </w:p>
        </w:tc>
        <w:tc>
          <w:tcPr/>
          <w:p>
            <w:pPr>
              <w:pStyle w:val="Compact"/>
              <w:jc w:val="left"/>
            </w:pPr>
            <w:r>
              <w:t xml:space="preserve">€1,200.00/session</w:t>
            </w:r>
          </w:p>
        </w:tc>
        <w:tc>
          <w:tcPr/>
          <w:p>
            <w:pPr>
              <w:pStyle w:val="Compact"/>
              <w:jc w:val="left"/>
            </w:pPr>
            <w:r>
              <w:t xml:space="preserve">€19,200.00</w:t>
            </w:r>
          </w:p>
        </w:tc>
      </w:tr>
      <w:tr>
        <w:tc>
          <w:tcPr/>
          <w:p>
            <w:pPr>
              <w:pStyle w:val="Compact"/>
              <w:jc w:val="left"/>
            </w:pPr>
            <w:r>
              <w:t xml:space="preserve">07</w:t>
            </w:r>
          </w:p>
        </w:tc>
        <w:tc>
          <w:tcPr/>
          <w:p>
            <w:pPr>
              <w:pStyle w:val="Compact"/>
              <w:jc w:val="left"/>
            </w:pPr>
            <w:r>
              <w:t xml:space="preserve">Economist – Final Comprehensive Report &amp; Policy Recommendations</w:t>
            </w:r>
          </w:p>
        </w:tc>
        <w:tc>
          <w:tcPr/>
          <w:p>
            <w:pPr>
              <w:pStyle w:val="Compact"/>
              <w:jc w:val="left"/>
            </w:pPr>
            <w:r>
              <w:t xml:space="preserve">1 deliverable</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08</w:t>
            </w:r>
          </w:p>
        </w:tc>
        <w:tc>
          <w:tcPr/>
          <w:p>
            <w:pPr>
              <w:pStyle w:val="Compact"/>
              <w:jc w:val="left"/>
            </w:pPr>
            <w:r>
              <w:t xml:space="preserve">Administrative &amp; Travel Costs within Netherlands Amsterdam</w:t>
            </w:r>
          </w:p>
        </w:tc>
        <w:tc>
          <w:tcPr/>
          <w:p>
            <w:pPr>
              <w:pStyle w:val="Compact"/>
              <w:jc w:val="left"/>
            </w:pPr>
            <w:r>
              <w:t xml:space="preserve">Flat fee</w:t>
            </w:r>
          </w:p>
        </w:tc>
        <w:tc>
          <w:tcPr/>
          <w:p>
            <w:pPr>
              <w:pStyle w:val="Compact"/>
              <w:jc w:val="left"/>
            </w:pPr>
            <w:r>
              <w:t xml:space="preserve">€2,400.00</w:t>
            </w:r>
          </w:p>
        </w:tc>
        <w:tc>
          <w:tcPr/>
          <w:p>
            <w:pPr>
              <w:pStyle w:val="Compact"/>
              <w:jc w:val="left"/>
            </w:pPr>
            <w:r>
              <w:t xml:space="preserve">€2,400.00</w:t>
            </w:r>
          </w:p>
        </w:tc>
      </w:tr>
      <w:tr>
        <w:tc>
          <w:tcPr>
            <w:gridSpan w:val="4"/>
          </w:tcPr>
          <w:p>
            <w:pPr>
              <w:pStyle w:val="Compact"/>
              <w:jc w:val="left"/>
            </w:pPr>
            <w:r>
              <w:rPr>
                <w:bCs/>
                <w:b/>
              </w:rPr>
              <w:t xml:space="preserve">Subtotal (Excl. VAT)</w:t>
            </w:r>
          </w:p>
        </w:tc>
        <w:tc>
          <w:tcPr/>
          <w:p>
            <w:pPr>
              <w:pStyle w:val="Compact"/>
              <w:jc w:val="left"/>
            </w:pPr>
            <w:r>
              <w:rPr>
                <w:bCs/>
                <w:b/>
              </w:rPr>
              <w:t xml:space="preserve">€94,775.00</w:t>
            </w:r>
          </w:p>
        </w:tc>
      </w:tr>
      <w:tr>
        <w:tc>
          <w:tcPr>
            <w:gridSpan w:val="4"/>
          </w:tcPr>
          <w:p>
            <w:pPr>
              <w:pStyle w:val="Compact"/>
              <w:jc w:val="left"/>
            </w:pPr>
            <w:r>
              <w:rPr>
                <w:bCs/>
                <w:b/>
              </w:rPr>
              <w:t xml:space="preserve">VAT (21% – Netherlands)</w:t>
            </w:r>
          </w:p>
        </w:tc>
        <w:tc>
          <w:tcPr/>
          <w:p>
            <w:pPr>
              <w:pStyle w:val="Compact"/>
              <w:jc w:val="left"/>
            </w:pPr>
            <w:r>
              <w:rPr>
                <w:bCs/>
                <w:b/>
              </w:rPr>
              <w:t xml:space="preserve">€19,902.75</w:t>
            </w:r>
          </w:p>
        </w:tc>
      </w:tr>
      <w:tr>
        <w:tc>
          <w:tcPr>
            <w:gridSpan w:val="4"/>
          </w:tcPr>
          <w:p>
            <w:pPr>
              <w:pStyle w:val="Compact"/>
              <w:jc w:val="left"/>
            </w:pPr>
            <w:r>
              <w:rPr>
                <w:bCs/>
                <w:b/>
              </w:rPr>
              <w:t xml:space="preserve">TOTAL AMOUNT DUE</w:t>
            </w:r>
          </w:p>
        </w:tc>
        <w:tc>
          <w:tcPr/>
          <w:p>
            <w:pPr>
              <w:pStyle w:val="Compact"/>
              <w:jc w:val="left"/>
            </w:pPr>
            <w:r>
              <w:rPr>
                <w:bCs/>
                <w:b/>
              </w:rPr>
              <w:t xml:space="preserve">€114,677.75</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a period of thirty (30) calendar days from the date of issue. After this period, the rates and terms may be subject to revision based on prevailing market conditions in the Netherlands Amsterdam professional services sector.</w:t>
      </w:r>
    </w:p>
    <w:p>
      <w:pPr>
        <w:pStyle w:val="BodyText"/>
      </w:pPr>
      <w:r>
        <w:rPr>
          <w:bCs/>
          <w:b/>
        </w:rPr>
        <w:t xml:space="preserve">4.2 Payment Terms:</w:t>
      </w:r>
      <w:r>
        <w:t xml:space="preserve"> </w:t>
      </w:r>
      <w:r>
        <w:t xml:space="preserve">Payment shall be made within thirty (30) days of invoice date. A 1.5% monthly late payment interest rate shall apply in accordance with Dutch law (Article 6:119a of the Dutch Civil Code). Invoices will be issued in EUR to the bank account specified by the client.</w:t>
      </w:r>
    </w:p>
    <w:p>
      <w:pPr>
        <w:pStyle w:val="BodyText"/>
      </w:pPr>
      <w:r>
        <w:rPr>
          <w:bCs/>
          <w:b/>
        </w:rPr>
        <w:t xml:space="preserve">4.3 Scope Changes:</w:t>
      </w:r>
      <w:r>
        <w:t xml:space="preserve"> </w:t>
      </w:r>
      <w:r>
        <w:t xml:space="preserve">Any additional services requested by the client beyond the scope defined in this Quotation Estimate will be subject to a separate written amendment and additional charges at the standard Economist hourly rate of €185.00 per hour.</w:t>
      </w:r>
    </w:p>
    <w:p>
      <w:pPr>
        <w:pStyle w:val="BodyText"/>
      </w:pPr>
      <w:r>
        <w:rPr>
          <w:bCs/>
          <w:b/>
        </w:rPr>
        <w:t xml:space="preserve">4.4 Confidentiality:</w:t>
      </w:r>
      <w:r>
        <w:t xml:space="preserve"> </w:t>
      </w:r>
      <w:r>
        <w:t xml:space="preserve">The Economist and all supporting personnel engaged under this Quotation Estimate shall maintain strict confidentiality regarding all data, models, and findings related to the client's operations in Netherlands Amsterdam. A separate Non-Disclosure Agreement (NDA) will be executed prior to commencement of work.</w:t>
      </w:r>
    </w:p>
    <w:p>
      <w:pPr>
        <w:pStyle w:val="BodyText"/>
      </w:pPr>
      <w:r>
        <w:rPr>
          <w:bCs/>
          <w:b/>
        </w:rPr>
        <w:t xml:space="preserve">4.5 Intellectual Property:</w:t>
      </w:r>
      <w:r>
        <w:t xml:space="preserve"> </w:t>
      </w:r>
      <w:r>
        <w:t xml:space="preserve">Upon full payment, all reports, models, forecasts, and analytical deliverables produced by the Economist shall become the exclusive property of the client. Meridian Economic Advisory B.V. retains the right to reference the engagement in anonymised case studies.</w:t>
      </w:r>
    </w:p>
    <w:p>
      <w:pPr>
        <w:pStyle w:val="BodyText"/>
      </w:pPr>
      <w:r>
        <w:rPr>
          <w:bCs/>
          <w:b/>
        </w:rPr>
        <w:t xml:space="preserve">4.6 Termination:</w:t>
      </w:r>
      <w:r>
        <w:t xml:space="preserve"> </w:t>
      </w:r>
      <w:r>
        <w:t xml:space="preserve">Either party may terminate this engagement with a written notice period of fourteen (14) calendar days. In the event of early termination, the client shall be liable for all services rendered up to the date of termination, as itemised in a final Quotation Estimate adjustment.</w:t>
      </w:r>
    </w:p>
    <w:p>
      <w:pPr>
        <w:pStyle w:val="BodyText"/>
      </w:pPr>
      <w:r>
        <w:rPr>
          <w:bCs/>
          <w:b/>
        </w:rPr>
        <w:t xml:space="preserve">4.7 Governing Law:</w:t>
      </w:r>
      <w:r>
        <w:t xml:space="preserve"> </w:t>
      </w:r>
      <w:r>
        <w:t xml:space="preserve">This Quotation Estimate and any resulting contract shall be governed by and construed in accordance with the laws of the Netherlands. Any disputes shall be submitted to the competent courts of Amsterdam, Netherlands.</w:t>
      </w:r>
    </w:p>
    <w:p>
      <w:pPr>
        <w:pStyle w:val="BodyText"/>
      </w:pPr>
      <w:r>
        <w:rPr>
          <w:bCs/>
          <w:b/>
        </w:rPr>
        <w:t xml:space="preserve">Note:</w:t>
      </w:r>
      <w:r>
        <w:t xml:space="preserve"> </w:t>
      </w:r>
      <w:r>
        <w:t xml:space="preserve">The Economist assigned to this engagement holds a PhD in Economics from the University of Amsterdam and possesses over fifteen (15) years of experience in urban economic planning, regional policy analysis, and fiscal modelling within the Netherlands Amsterdam metropolitan area. All work will be conducted in compliance with the Dutch Personal Data Protection Act (UAVG) and applicable EU regulations.</w:t>
      </w:r>
    </w:p>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the terms, conditions, and pricing outlined in this Quotation Estimate for the engagement of the Economist in Netherlands Amsterdam. This signature constitutes a binding agreement for the services described herein.</w:t>
      </w:r>
    </w:p>
    <w:p>
      <w:pPr>
        <w:pStyle w:val="BodyText"/>
      </w:pPr>
      <w:r>
        <w:rPr>
          <w:bCs/>
          <w:b/>
        </w:rPr>
        <w:t xml:space="preserve">For Meridian Economic Advisory B.V.</w:t>
      </w:r>
      <w:r>
        <w:br/>
      </w:r>
      <w:r>
        <w:t xml:space="preserve">Name: Dr. S. de Vries</w:t>
      </w:r>
      <w:r>
        <w:br/>
      </w:r>
      <w:r>
        <w:t xml:space="preserve">Title: Managing Director</w:t>
      </w:r>
      <w:r>
        <w:br/>
      </w:r>
      <w:r>
        <w:t xml:space="preserve">Date: _______________</w:t>
      </w:r>
    </w:p>
    <w:p>
      <w:pPr>
        <w:pStyle w:val="BodyText"/>
      </w:pPr>
      <w:r>
        <w:rPr>
          <w:bCs/>
          <w:b/>
        </w:rPr>
        <w:t xml:space="preserve">For Stadsontwikkeling Amsterdam N.V.</w:t>
      </w:r>
      <w:r>
        <w:br/>
      </w:r>
      <w:r>
        <w:t xml:space="preserve">Name: Mr. J. van der Berg</w:t>
      </w:r>
      <w:r>
        <w:br/>
      </w:r>
      <w:r>
        <w:t xml:space="preserve">Title: Director of Strategic Planning</w:t>
      </w:r>
      <w:r>
        <w:br/>
      </w:r>
      <w:r>
        <w:t xml:space="preserve">Date: _______________</w:t>
      </w:r>
    </w:p>
    <w:p>
      <w:pPr>
        <w:pStyle w:val="BodyText"/>
      </w:pPr>
      <w:r>
        <w:t xml:space="preserve">Meridian Economic Advisory B.V. | KvK 87654321 | BTW NL867543212B01 | IBAN NL91 ABNA 0417 1643 00</w:t>
      </w:r>
    </w:p>
    <w:p>
      <w:pPr>
        <w:pStyle w:val="BodyText"/>
      </w:pPr>
      <w:r>
        <w:t xml:space="preserve">This Quotation Estimate was prepared specifically for the client named above and is not transferable.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Netherlands Amsterdam</dc:title>
  <dc:creator/>
  <dc:language>en</dc:language>
  <cp:keywords/>
  <dcterms:created xsi:type="dcterms:W3CDTF">2026-10-10T09:14:16Z</dcterms:created>
  <dcterms:modified xsi:type="dcterms:W3CDTF">2026-10-10T09:14:16Z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