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quotation-estimate"/>
    <w:p>
      <w:pPr>
        <w:pStyle w:val="Heading1"/>
      </w:pPr>
      <w:r>
        <w:t xml:space="preserve">QUOTATION ESTIMATE</w:t>
      </w:r>
    </w:p>
    <w:p>
      <w:pPr>
        <w:pStyle w:val="FirstParagraph"/>
      </w:pPr>
      <w:r>
        <w:t xml:space="preserve">Professional Economist Engagement Services</w:t>
      </w:r>
    </w:p>
    <w:p>
      <w:pPr>
        <w:pStyle w:val="BodyText"/>
      </w:pPr>
      <w:r>
        <w:t xml:space="preserve">New Zealand Auckland | Financial Year 2025–2026</w:t>
      </w:r>
    </w:p>
    <w:p>
      <w:pPr>
        <w:pStyle w:val="BodyText"/>
      </w:pPr>
      <w:r>
        <w:t xml:space="preserve">Reference No: QE-ECON-AKL-2025-0472</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Date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 from issue)</w:t>
            </w:r>
          </w:p>
        </w:tc>
      </w:tr>
      <w:tr>
        <w:tc>
          <w:tcPr/>
          <w:p>
            <w:pPr>
              <w:pStyle w:val="Compact"/>
              <w:jc w:val="left"/>
            </w:pPr>
            <w:r>
              <w:t xml:space="preserve">Prepared For</w:t>
            </w:r>
          </w:p>
        </w:tc>
        <w:tc>
          <w:tcPr/>
          <w:p>
            <w:pPr>
              <w:pStyle w:val="Compact"/>
              <w:jc w:val="left"/>
            </w:pPr>
            <w:r>
              <w:t xml:space="preserve">Auckland Regional Economic Development Board, Level 12, 2 Queen Street, Auckland 1010, New Zealand</w:t>
            </w:r>
          </w:p>
        </w:tc>
      </w:tr>
      <w:tr>
        <w:tc>
          <w:tcPr/>
          <w:p>
            <w:pPr>
              <w:pStyle w:val="Compact"/>
              <w:jc w:val="left"/>
            </w:pPr>
            <w:r>
              <w:t xml:space="preserve">Prepared By</w:t>
            </w:r>
          </w:p>
        </w:tc>
        <w:tc>
          <w:tcPr/>
          <w:p>
            <w:pPr>
              <w:pStyle w:val="Compact"/>
              <w:jc w:val="left"/>
            </w:pPr>
            <w:r>
              <w:t xml:space="preserve">Meridian Economic Advisory Group Ltd, 45 Federal Street, Auckland CBD, New Zealand</w:t>
            </w:r>
          </w:p>
        </w:tc>
      </w:tr>
      <w:tr>
        <w:tc>
          <w:tcPr/>
          <w:p>
            <w:pPr>
              <w:pStyle w:val="Compact"/>
              <w:jc w:val="left"/>
            </w:pPr>
            <w:r>
              <w:t xml:space="preserve">Service Location</w:t>
            </w:r>
          </w:p>
        </w:tc>
        <w:tc>
          <w:tcPr/>
          <w:p>
            <w:pPr>
              <w:pStyle w:val="Compact"/>
              <w:jc w:val="left"/>
            </w:pPr>
            <w:r>
              <w:t xml:space="preserve">New Zealand Auckland (Primary Office) with regional coverage across the Auckland Region</w:t>
            </w:r>
          </w:p>
        </w:tc>
      </w:tr>
      <w:tr>
        <w:tc>
          <w:tcPr/>
          <w:p>
            <w:pPr>
              <w:pStyle w:val="Compact"/>
              <w:jc w:val="left"/>
            </w:pPr>
            <w:r>
              <w:t xml:space="preserve">Engagement Type</w:t>
            </w:r>
          </w:p>
        </w:tc>
        <w:tc>
          <w:tcPr/>
          <w:p>
            <w:pPr>
              <w:pStyle w:val="Compact"/>
              <w:jc w:val="left"/>
            </w:pPr>
            <w:r>
              <w:t xml:space="preserve">Retained Economist – Full-Time Advisory (12-month contract, renewable)</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Meridian Economic Advisory Group Ltd to formally outline the projected costs, deliverables, and terms associated with the engagement of a senior Economist to provide ongoing economic analysis, policy advisory, and strategic forecasting services specifically tailored to the New Zealand Auckland region. This document serves as a binding cost projection for the client's internal budgeting and procurement processes in accordance with New Zealand public sector procurement guidelines and the Auckland Council's vendor engagement framework.</w:t>
      </w:r>
    </w:p>
    <w:p>
      <w:pPr>
        <w:pStyle w:val="BodyText"/>
      </w:pPr>
      <w:r>
        <w:t xml:space="preserve">The Economist engaged under this Quotation Estimate will operate primarily from our Auckland CBD office and will be responsible for delivering comprehensive economic intelligence to support regional planning, infrastructure investment decisions, workforce development strategies, and fiscal policy recommendations relevant to the New Zealand Auckland metropolitan area and its surrounding local government units.</w:t>
      </w:r>
    </w:p>
    <w:bookmarkEnd w:id="21"/>
    <w:bookmarkStart w:id="22" w:name="scope-of-services-economist-engagement"/>
    <w:p>
      <w:pPr>
        <w:pStyle w:val="Heading2"/>
      </w:pPr>
      <w:r>
        <w:t xml:space="preserve">2. Scope of Services – Economist Engagement</w:t>
      </w:r>
    </w:p>
    <w:p>
      <w:pPr>
        <w:pStyle w:val="FirstParagraph"/>
      </w:pPr>
      <w:r>
        <w:t xml:space="preserve">The Economist retained under this Quotation Estimate shall provide the following core services throughout the engagement period in New Zealand Auckland:</w:t>
      </w:r>
    </w:p>
    <w:p>
      <w:pPr>
        <w:numPr>
          <w:ilvl w:val="0"/>
          <w:numId w:val="1001"/>
        </w:numPr>
        <w:pStyle w:val="Compact"/>
      </w:pPr>
      <w:r>
        <w:rPr>
          <w:bCs/>
          <w:b/>
        </w:rPr>
        <w:t xml:space="preserve">Macroeconomic Analysis:</w:t>
      </w:r>
      <w:r>
        <w:t xml:space="preserve"> </w:t>
      </w:r>
      <w:r>
        <w:t xml:space="preserve">Monthly and quarterly economic outlook reports covering GDP growth projections, inflation trends, labour market dynamics, and trade balance assessments specific to the New Zealand Auckland economy and its position within the broader New Zealand national economy.</w:t>
      </w:r>
    </w:p>
    <w:p>
      <w:pPr>
        <w:numPr>
          <w:ilvl w:val="0"/>
          <w:numId w:val="1001"/>
        </w:numPr>
        <w:pStyle w:val="Compact"/>
      </w:pPr>
      <w:r>
        <w:rPr>
          <w:bCs/>
          <w:b/>
        </w:rPr>
        <w:t xml:space="preserve">Policy Advisory:</w:t>
      </w:r>
      <w:r>
        <w:t xml:space="preserve"> </w:t>
      </w:r>
      <w:r>
        <w:t xml:space="preserve">On-demand advisory sessions (minimum 8 per quarter) with Auckland Regional Council members, the Auckland Transport Economic Unit, and the New Zealand Ministry of Business, Innovation and Employment's Auckland regional office.</w:t>
      </w:r>
    </w:p>
    <w:p>
      <w:pPr>
        <w:numPr>
          <w:ilvl w:val="0"/>
          <w:numId w:val="1001"/>
        </w:numPr>
        <w:pStyle w:val="Compact"/>
      </w:pPr>
      <w:r>
        <w:rPr>
          <w:bCs/>
          <w:b/>
        </w:rPr>
        <w:t xml:space="preserve">Infrastructure &amp; Investment Modelling:</w:t>
      </w:r>
      <w:r>
        <w:t xml:space="preserve"> </w:t>
      </w:r>
      <w:r>
        <w:t xml:space="preserve">Cost-benefit analyses for proposed infrastructure projects in New Zealand Auckland, including transport corridors, housing development zones, and digital infrastructure rollouts.</w:t>
      </w:r>
    </w:p>
    <w:p>
      <w:pPr>
        <w:numPr>
          <w:ilvl w:val="0"/>
          <w:numId w:val="1001"/>
        </w:numPr>
        <w:pStyle w:val="Compact"/>
      </w:pPr>
      <w:r>
        <w:rPr>
          <w:bCs/>
          <w:b/>
        </w:rPr>
        <w:t xml:space="preserve">Workforce &amp; Skills Forecasting:</w:t>
      </w:r>
      <w:r>
        <w:t xml:space="preserve"> </w:t>
      </w:r>
      <w:r>
        <w:t xml:space="preserve">Annual labour market projections identifying emerging skill gaps, migration impact assessments, and sectoral employment trends across the New Zealand Auckland region.</w:t>
      </w:r>
    </w:p>
    <w:p>
      <w:pPr>
        <w:numPr>
          <w:ilvl w:val="0"/>
          <w:numId w:val="1001"/>
        </w:numPr>
        <w:pStyle w:val="Compact"/>
      </w:pPr>
      <w:r>
        <w:rPr>
          <w:bCs/>
          <w:b/>
        </w:rPr>
        <w:t xml:space="preserve">Stakeholder Presentations:</w:t>
      </w:r>
      <w:r>
        <w:t xml:space="preserve"> </w:t>
      </w:r>
      <w:r>
        <w:t xml:space="preserve">Minimum 12 formal presentations per annum to government bodies, industry associations, and academic institutions within New Zealand Auckland.</w:t>
      </w:r>
    </w:p>
    <w:p>
      <w:pPr>
        <w:numPr>
          <w:ilvl w:val="0"/>
          <w:numId w:val="1001"/>
        </w:numPr>
        <w:pStyle w:val="Compact"/>
      </w:pPr>
      <w:r>
        <w:rPr>
          <w:bCs/>
          <w:b/>
        </w:rPr>
        <w:t xml:space="preserve">Emergency Economic Response:</w:t>
      </w:r>
      <w:r>
        <w:t xml:space="preserve"> </w:t>
      </w:r>
      <w:r>
        <w:t xml:space="preserve">Rapid-response economic impact assessments in the event of natural disasters, trade disruptions, or significant policy changes affecting New Zealand Auckland.</w:t>
      </w:r>
    </w:p>
    <w:bookmarkEnd w:id="22"/>
    <w:bookmarkStart w:id="23" w:name="X83c4279fdfe0006302ff32c697d8131583a5b8b"/>
    <w:p>
      <w:pPr>
        <w:pStyle w:val="Heading2"/>
      </w:pPr>
      <w:r>
        <w:t xml:space="preserve">3. Quotation Estimate – Itemised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(NZD)</w:t>
            </w:r>
          </w:p>
        </w:tc>
      </w:tr>
      <w:tr>
        <w:tc>
          <w:tcPr/>
          <w:p>
            <w:pPr>
              <w:pStyle w:val="Compact"/>
              <w:jc w:val="left"/>
            </w:pPr>
            <w:r>
              <w:t xml:space="preserve">3.1</w:t>
            </w:r>
          </w:p>
        </w:tc>
        <w:tc>
          <w:tcPr/>
          <w:p>
            <w:pPr>
              <w:pStyle w:val="Compact"/>
              <w:jc w:val="left"/>
            </w:pPr>
            <w:r>
              <w:t xml:space="preserve">Senior Economist – Base Retainer Fee (PhD in Economics, 15+ years experience, NZ-resident)</w:t>
            </w:r>
          </w:p>
        </w:tc>
        <w:tc>
          <w:tcPr/>
          <w:p>
            <w:pPr>
              <w:pStyle w:val="Compact"/>
              <w:jc w:val="left"/>
            </w:pPr>
            <w:r>
              <w:t xml:space="preserve">12 months</w:t>
            </w:r>
          </w:p>
        </w:tc>
        <w:tc>
          <w:tcPr/>
          <w:p>
            <w:pPr>
              <w:pStyle w:val="Compact"/>
              <w:jc w:val="left"/>
            </w:pPr>
            <w:r>
              <w:t xml:space="preserve">$288,000.00</w:t>
            </w:r>
          </w:p>
        </w:tc>
      </w:tr>
      <w:tr>
        <w:tc>
          <w:tcPr/>
          <w:p>
            <w:pPr>
              <w:pStyle w:val="Compact"/>
              <w:jc w:val="left"/>
            </w:pPr>
            <w:r>
              <w:t xml:space="preserve">3.2</w:t>
            </w:r>
          </w:p>
        </w:tc>
        <w:tc>
          <w:tcPr/>
          <w:p>
            <w:pPr>
              <w:pStyle w:val="Compact"/>
              <w:jc w:val="left"/>
            </w:pPr>
            <w:r>
              <w:t xml:space="preserve">Economic Modelling Software Licences (Stata, EViews, GIS mapping tools for Auckland spatial analysis)</w:t>
            </w:r>
          </w:p>
        </w:tc>
        <w:tc>
          <w:tcPr/>
          <w:p>
            <w:pPr>
              <w:pStyle w:val="Compact"/>
              <w:jc w:val="left"/>
            </w:pPr>
            <w:r>
              <w:t xml:space="preserve">12 months</w:t>
            </w:r>
          </w:p>
        </w:tc>
        <w:tc>
          <w:tcPr/>
          <w:p>
            <w:pPr>
              <w:pStyle w:val="Compact"/>
              <w:jc w:val="left"/>
            </w:pPr>
            <w:r>
              <w:t xml:space="preserve">$14,500.00</w:t>
            </w:r>
          </w:p>
        </w:tc>
      </w:tr>
      <w:tr>
        <w:tc>
          <w:tcPr/>
          <w:p>
            <w:pPr>
              <w:pStyle w:val="Compact"/>
              <w:jc w:val="left"/>
            </w:pPr>
            <w:r>
              <w:t xml:space="preserve">3.3</w:t>
            </w:r>
          </w:p>
        </w:tc>
        <w:tc>
          <w:tcPr/>
          <w:p>
            <w:pPr>
              <w:pStyle w:val="Compact"/>
              <w:jc w:val="left"/>
            </w:pPr>
            <w:r>
              <w:t xml:space="preserve">Research Assistant Support (2 FTE, Auckland-based)</w:t>
            </w:r>
          </w:p>
        </w:tc>
        <w:tc>
          <w:tcPr/>
          <w:p>
            <w:pPr>
              <w:pStyle w:val="Compact"/>
              <w:jc w:val="left"/>
            </w:pPr>
            <w:r>
              <w:t xml:space="preserve">12 months</w:t>
            </w:r>
          </w:p>
        </w:tc>
        <w:tc>
          <w:tcPr/>
          <w:p>
            <w:pPr>
              <w:pStyle w:val="Compact"/>
              <w:jc w:val="left"/>
            </w:pPr>
            <w:r>
              <w:t xml:space="preserve">$112,000.00</w:t>
            </w:r>
          </w:p>
        </w:tc>
      </w:tr>
      <w:tr>
        <w:tc>
          <w:tcPr/>
          <w:p>
            <w:pPr>
              <w:pStyle w:val="Compact"/>
              <w:jc w:val="left"/>
            </w:pPr>
            <w:r>
              <w:t xml:space="preserve">3.4</w:t>
            </w:r>
          </w:p>
        </w:tc>
        <w:tc>
          <w:tcPr/>
          <w:p>
            <w:pPr>
              <w:pStyle w:val="Compact"/>
              <w:jc w:val="left"/>
            </w:pPr>
            <w:r>
              <w:t xml:space="preserve">Travel &amp; Fieldwork within New Zealand Auckland Region (local government sites, industry visits, community consultations)</w:t>
            </w:r>
          </w:p>
        </w:tc>
        <w:tc>
          <w:tcPr/>
          <w:p>
            <w:pPr>
              <w:pStyle w:val="Compact"/>
              <w:jc w:val="left"/>
            </w:pPr>
            <w:r>
              <w:t xml:space="preserve">12 months</w:t>
            </w:r>
          </w:p>
        </w:tc>
        <w:tc>
          <w:tcPr/>
          <w:p>
            <w:pPr>
              <w:pStyle w:val="Compact"/>
              <w:jc w:val="left"/>
            </w:pPr>
            <w:r>
              <w:t xml:space="preserve">$9,800.00</w:t>
            </w:r>
          </w:p>
        </w:tc>
      </w:tr>
      <w:tr>
        <w:tc>
          <w:tcPr/>
          <w:p>
            <w:pPr>
              <w:pStyle w:val="Compact"/>
              <w:jc w:val="left"/>
            </w:pPr>
            <w:r>
              <w:t xml:space="preserve">3.5</w:t>
            </w:r>
          </w:p>
        </w:tc>
        <w:tc>
          <w:tcPr/>
          <w:p>
            <w:pPr>
              <w:pStyle w:val="Compact"/>
              <w:jc w:val="left"/>
            </w:pPr>
            <w:r>
              <w:t xml:space="preserve">Report Production, Printing &amp; Digital Distribution (quarterly reports, annual strategy document)</w:t>
            </w:r>
          </w:p>
        </w:tc>
        <w:tc>
          <w:tcPr/>
          <w:p>
            <w:pPr>
              <w:pStyle w:val="Compact"/>
              <w:jc w:val="left"/>
            </w:pPr>
            <w:r>
              <w:t xml:space="preserve">12 months</w:t>
            </w:r>
          </w:p>
        </w:tc>
        <w:tc>
          <w:tcPr/>
          <w:p>
            <w:pPr>
              <w:pStyle w:val="Compact"/>
              <w:jc w:val="left"/>
            </w:pPr>
            <w:r>
              <w:t xml:space="preserve">$6,200.00</w:t>
            </w:r>
          </w:p>
        </w:tc>
      </w:tr>
      <w:tr>
        <w:tc>
          <w:tcPr/>
          <w:p>
            <w:pPr>
              <w:pStyle w:val="Compact"/>
              <w:jc w:val="left"/>
            </w:pPr>
            <w:r>
              <w:t xml:space="preserve">3.6</w:t>
            </w:r>
          </w:p>
        </w:tc>
        <w:tc>
          <w:tcPr/>
          <w:p>
            <w:pPr>
              <w:pStyle w:val="Compact"/>
              <w:jc w:val="left"/>
            </w:pPr>
            <w:r>
              <w:t xml:space="preserve">Conference &amp; Professional Development (Economist attendance at NZ Economic Society, Auckland Business School events)</w:t>
            </w:r>
          </w:p>
        </w:tc>
        <w:tc>
          <w:tcPr/>
          <w:p>
            <w:pPr>
              <w:pStyle w:val="Compact"/>
              <w:jc w:val="left"/>
            </w:pPr>
            <w:r>
              <w:t xml:space="preserve">12 months</w:t>
            </w:r>
          </w:p>
        </w:tc>
        <w:tc>
          <w:tcPr/>
          <w:p>
            <w:pPr>
              <w:pStyle w:val="Compact"/>
              <w:jc w:val="left"/>
            </w:pPr>
            <w:r>
              <w:t xml:space="preserve">$7,400.00</w:t>
            </w:r>
          </w:p>
        </w:tc>
      </w:tr>
      <w:tr>
        <w:tc>
          <w:tcPr/>
          <w:p>
            <w:pPr>
              <w:pStyle w:val="Compact"/>
              <w:jc w:val="left"/>
            </w:pPr>
            <w:r>
              <w:t xml:space="preserve">3.7</w:t>
            </w:r>
          </w:p>
        </w:tc>
        <w:tc>
          <w:tcPr/>
          <w:p>
            <w:pPr>
              <w:pStyle w:val="Compact"/>
              <w:jc w:val="left"/>
            </w:pPr>
            <w:r>
              <w:t xml:space="preserve">Project Management &amp; Administrative Overhead (10%)</w:t>
            </w:r>
          </w:p>
        </w:tc>
        <w:tc>
          <w:tcPr/>
          <w:p>
            <w:pPr>
              <w:pStyle w:val="Compact"/>
              <w:jc w:val="left"/>
            </w:pPr>
            <w:r>
              <w:t xml:space="preserve">12 months</w:t>
            </w:r>
          </w:p>
        </w:tc>
        <w:tc>
          <w:tcPr/>
          <w:p>
            <w:pPr>
              <w:pStyle w:val="Compact"/>
              <w:jc w:val="left"/>
            </w:pPr>
            <w:r>
              <w:t xml:space="preserve">$42,790.00</w:t>
            </w:r>
          </w:p>
        </w:tc>
      </w:tr>
      <w:tr>
        <w:tc>
          <w:tcPr/>
          <w:p>
            <w:pPr>
              <w:pStyle w:val="Compact"/>
              <w:jc w:val="left"/>
            </w:pPr>
            <w:r>
              <w:t xml:space="preserve">3.8</w:t>
            </w:r>
          </w:p>
        </w:tc>
        <w:tc>
          <w:tcPr/>
          <w:p>
            <w:pPr>
              <w:pStyle w:val="Compact"/>
              <w:jc w:val="left"/>
            </w:pPr>
            <w:r>
              <w:t xml:space="preserve">Goods and Services Tax (GST) at 15% (New Zealand standard rate)</w:t>
            </w:r>
          </w:p>
        </w:tc>
        <w:tc>
          <w:tcPr/>
          <w:p>
            <w:pPr>
              <w:pStyle w:val="Compact"/>
              <w:jc w:val="left"/>
            </w:pPr>
            <w:r>
              <w:t xml:space="preserve">12 months</w:t>
            </w:r>
          </w:p>
        </w:tc>
        <w:tc>
          <w:tcPr/>
          <w:p>
            <w:pPr>
              <w:pStyle w:val="Compact"/>
              <w:jc w:val="left"/>
            </w:pPr>
            <w:r>
              <w:t xml:space="preserve">$72,763.50</w:t>
            </w:r>
          </w:p>
        </w:tc>
      </w:tr>
      <w:tr>
        <w:tc>
          <w:tcPr>
            <w:gridSpan w:val="3"/>
          </w:tcPr>
          <w:p>
            <w:pPr>
              <w:pStyle w:val="Compact"/>
              <w:jc w:val="left"/>
            </w:pPr>
            <w:r>
              <w:t xml:space="preserve">TOTAL QUOTATION ESTIMATE (Inclusive of GST)</w:t>
            </w:r>
          </w:p>
        </w:tc>
        <w:tc>
          <w:tcPr/>
          <w:p>
            <w:pPr>
              <w:pStyle w:val="Compact"/>
              <w:jc w:val="left"/>
            </w:pPr>
            <w:r>
              <w:t xml:space="preserve">$553,453.50</w:t>
            </w:r>
          </w:p>
        </w:tc>
      </w:tr>
    </w:tbl>
    <w:bookmarkEnd w:id="23"/>
    <w:bookmarkStart w:id="24" w:name="payment-terms-and-conditions"/>
    <w:p>
      <w:pPr>
        <w:pStyle w:val="Heading2"/>
      </w:pPr>
      <w:r>
        <w:t xml:space="preserve">4. Payment Terms and Conditions</w:t>
      </w:r>
    </w:p>
    <w:p>
      <w:pPr>
        <w:pStyle w:val="FirstParagraph"/>
      </w:pPr>
      <w:r>
        <w:t xml:space="preserve">Payment for the services outlined in this Quotation Estimate shall be made in quarterly instalments, due within 30 days of invoice issuance. The first instalment is due upon contract execution. All amounts are quoted in New Zealand Dollars (NZD) and are subject to the standard 15% Goods and Services Tax applicable in New Zealand. In the event of scope changes exceeding 10% of the original Quotation Estimate value, a supplementary Quotation Estimate shall be issued for client approval prior to additional work commencing.</w:t>
      </w:r>
    </w:p>
    <w:bookmarkEnd w:id="24"/>
    <w:bookmarkStart w:id="25" w:name="terms-assumptions-and-exclusions"/>
    <w:p>
      <w:pPr>
        <w:pStyle w:val="Heading2"/>
      </w:pPr>
      <w:r>
        <w:t xml:space="preserve">5. Terms, Assumptions, and Exclusions</w:t>
      </w:r>
    </w:p>
    <w:p>
      <w:pPr>
        <w:pStyle w:val="FirstParagraph"/>
      </w:pPr>
      <w:r>
        <w:rPr>
          <w:bCs/>
          <w:b/>
        </w:rPr>
        <w:t xml:space="preserve">Assumptions:</w:t>
      </w:r>
      <w:r>
        <w:t xml:space="preserve"> </w:t>
      </w:r>
      <w:r>
        <w:t xml:space="preserve">This Quotation Estimate assumes the Economist will have access to all relevant New Zealand Auckland government datasets, including Statistics New Zealand (Stats NZ) regional data, Auckland Council planning records, and Reserve Bank of New Zealand (RBNZ) economic indicators. The client is responsible for facilitating data access agreements.</w:t>
      </w:r>
    </w:p>
    <w:p>
      <w:pPr>
        <w:pStyle w:val="BodyText"/>
      </w:pPr>
      <w:r>
        <w:rPr>
          <w:bCs/>
          <w:b/>
        </w:rPr>
        <w:t xml:space="preserve">Exclusions:</w:t>
      </w:r>
      <w:r>
        <w:t xml:space="preserve"> </w:t>
      </w:r>
      <w:r>
        <w:t xml:space="preserve">This Quotation Estimate does not include international travel, litigation support, or services beyond the New Zealand Auckland metropolitan region unless a separate addendum is executed. The Economist's personal superannuation contributions are included in the base retainer fee.</w:t>
      </w:r>
    </w:p>
    <w:p>
      <w:pPr>
        <w:pStyle w:val="BodyText"/>
      </w:pPr>
      <w:r>
        <w:rPr>
          <w:bCs/>
          <w:b/>
        </w:rPr>
        <w:t xml:space="preserve">Termination:</w:t>
      </w:r>
      <w:r>
        <w:t xml:space="preserve"> </w:t>
      </w:r>
      <w:r>
        <w:t xml:space="preserve">Either party may terminate the engagement with 90 days' written notice. In the event of early termination, a pro-rata adjustment to the Quotation Estimate total will be applied.</w:t>
      </w:r>
    </w:p>
    <w:p>
      <w:pPr>
        <w:pStyle w:val="BodyText"/>
      </w:pPr>
      <w:r>
        <w:rPr>
          <w:bCs/>
          <w:b/>
        </w:rPr>
        <w:t xml:space="preserve">Confidentiality:</w:t>
      </w:r>
      <w:r>
        <w:t xml:space="preserve"> </w:t>
      </w:r>
      <w:r>
        <w:t xml:space="preserve">All economic data, forecasts, and policy recommendations produced by the Economist under this engagement are the intellectual property of the client and are subject to New Zealand's Official Information Act 1982 and the Privacy Act 2020.</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 Quotation Estimate and agrees to the terms, conditions, and cost projections set forth herein for the engagement of the Economist in New Zealand Auckland. This Quotation Estimate becomes a binding service agreement upon countersignature by both parties.</w:t>
      </w:r>
    </w:p>
    <w:p>
      <w:pPr>
        <w:pStyle w:val="BodyText"/>
      </w:pPr>
      <w:r>
        <w:rPr>
          <w:bCs/>
          <w:b/>
        </w:rPr>
        <w:t xml:space="preserve">For Meridian Economic Advisory Group Ltd</w:t>
      </w:r>
      <w:r>
        <w:br/>
      </w:r>
      <w:r>
        <w:t xml:space="preserve">Name: Dr. Sarah Whitmore, Managing Director</w:t>
      </w:r>
      <w:r>
        <w:br/>
      </w:r>
      <w:r>
        <w:t xml:space="preserve">Signature: _________________________</w:t>
      </w:r>
      <w:r>
        <w:br/>
      </w:r>
      <w:r>
        <w:t xml:space="preserve">Date: _________________________</w:t>
      </w:r>
    </w:p>
    <w:p>
      <w:pPr>
        <w:pStyle w:val="BodyText"/>
      </w:pPr>
      <w:r>
        <w:rPr>
          <w:bCs/>
          <w:b/>
        </w:rPr>
        <w:t xml:space="preserve">For Auckland Regional Economic Development Board</w:t>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Meridian Economic Advisory Group Ltd | NZBN: 9429047182635 | GST No: 123-456-789</w:t>
      </w:r>
      <w:r>
        <w:br/>
      </w:r>
      <w:r>
        <w:t xml:space="preserve">45 Federal Street, Auckland CBD, Auckland 1010, New Zealand | Phone: +64 9 374 5521 | Email: enquiries@meridianecon.co.nz</w:t>
      </w:r>
      <w:r>
        <w:br/>
      </w:r>
      <w:r>
        <w:t xml:space="preserve">This Quotation Estimate is valid for 90 days from the date of issue. All figures are in New Zealand Dollars (NZD).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New Zealand Auckland</dc:title>
  <dc:creator/>
  <dc:language>en</dc:language>
  <cp:keywords/>
  <dcterms:created xsi:type="dcterms:W3CDTF">2026-10-10T08:14:54Z</dcterms:created>
  <dcterms:modified xsi:type="dcterms:W3CDTF">2026-10-10T08:14:54Z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