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Economist Engagement — Russia Moscow</w:t>
      </w:r>
    </w:p>
    <w:p>
      <w:pPr>
        <w:pStyle w:val="BodyText"/>
      </w:pPr>
      <w:r>
        <w:t xml:space="preserve">Document No. QE-RM-2025-0472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Russian Ruble (RUB) / US Dollar (USD)</w:t>
      </w:r>
    </w:p>
    <w:p>
      <w:pPr>
        <w:pStyle w:val="BodyText"/>
      </w:pPr>
      <w:r>
        <w:rPr>
          <w:bCs/>
          <w:b/>
        </w:rPr>
        <w:t xml:space="preserve">Prepared By:</w:t>
      </w:r>
      <w:r>
        <w:t xml:space="preserve"> </w:t>
      </w:r>
      <w:r>
        <w:t xml:space="preserve">Moscow Economic Advisory Group LLC</w:t>
      </w:r>
      <w:r>
        <w:br/>
      </w:r>
      <w:r>
        <w:rPr>
          <w:bCs/>
          <w:b/>
        </w:rPr>
        <w:t xml:space="preserve">Address:</w:t>
      </w:r>
      <w:r>
        <w:t xml:space="preserve"> </w:t>
      </w:r>
      <w:r>
        <w:t xml:space="preserve">Tverskaya Street 12, Moscow, 125009, Russia</w:t>
      </w:r>
      <w:r>
        <w:br/>
      </w:r>
      <w:r>
        <w:rPr>
          <w:bCs/>
          <w:b/>
        </w:rPr>
        <w:t xml:space="preserve">Contact:</w:t>
      </w:r>
      <w:r>
        <w:t xml:space="preserve"> </w:t>
      </w:r>
      <w:r>
        <w:t xml:space="preserve">+7 (495) 555-0142 | info@meag-moscow.ru</w:t>
      </w:r>
    </w:p>
    <w:bookmarkStart w:id="21" w:name="client-information"/>
    <w:p>
      <w:pPr>
        <w:pStyle w:val="Heading2"/>
      </w:pPr>
      <w:r>
        <w:t xml:space="preserve">1. Client Information</w:t>
      </w:r>
    </w:p>
    <w:p>
      <w:pPr>
        <w:pStyle w:val="FirstParagraph"/>
      </w:pPr>
      <w:r>
        <w:t xml:space="preserve">This Quotation Estimate is prepared for the following client seeking the engagement of a qualified Economist to deliver specialized economic analysis, forecasting, and advisory services within the Russia Moscow metropolitan area and the broader Russian Federation: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Organization Name]</w:t>
            </w:r>
          </w:p>
        </w:tc>
      </w:tr>
      <w:tr>
        <w:tc>
          <w:tcPr/>
          <w:p>
            <w:pPr>
              <w:pStyle w:val="Compact"/>
              <w:jc w:val="left"/>
            </w:pPr>
            <w:r>
              <w:t xml:space="preserve">Client Address</w:t>
            </w:r>
          </w:p>
        </w:tc>
        <w:tc>
          <w:tcPr/>
          <w:p>
            <w:pPr>
              <w:pStyle w:val="Compact"/>
              <w:jc w:val="left"/>
            </w:pPr>
            <w:r>
              <w:t xml:space="preserve">[Street, District], Moscow, Russia</w:t>
            </w:r>
          </w:p>
        </w:tc>
      </w:tr>
      <w:tr>
        <w:tc>
          <w:tcPr/>
          <w:p>
            <w:pPr>
              <w:pStyle w:val="Compact"/>
              <w:jc w:val="left"/>
            </w:pPr>
            <w:r>
              <w:t xml:space="preserve">Primary Contact</w:t>
            </w:r>
          </w:p>
        </w:tc>
        <w:tc>
          <w:tcPr/>
          <w:p>
            <w:pPr>
              <w:pStyle w:val="Compact"/>
              <w:jc w:val="left"/>
            </w:pPr>
            <w:r>
              <w:t xml:space="preserve">[Name, Title, Email, Phone]</w:t>
            </w:r>
          </w:p>
        </w:tc>
      </w:tr>
      <w:tr>
        <w:tc>
          <w:tcPr/>
          <w:p>
            <w:pPr>
              <w:pStyle w:val="Compact"/>
              <w:jc w:val="left"/>
            </w:pPr>
            <w:r>
              <w:t xml:space="preserve">Project Reference</w:t>
            </w:r>
          </w:p>
        </w:tc>
        <w:tc>
          <w:tcPr/>
          <w:p>
            <w:pPr>
              <w:pStyle w:val="Compact"/>
              <w:jc w:val="left"/>
            </w:pPr>
            <w:r>
              <w:t xml:space="preserve">MEAG-RM-2025-ECON-0472</w:t>
            </w:r>
          </w:p>
        </w:tc>
      </w:tr>
    </w:tbl>
    <w:bookmarkEnd w:id="21"/>
    <w:bookmarkStart w:id="22" w:name="X4bd98473ae9cfe3a6fbf2c2753c376b4c74ecfa"/>
    <w:p>
      <w:pPr>
        <w:pStyle w:val="Heading2"/>
      </w:pPr>
      <w:r>
        <w:t xml:space="preserve">2. Scope of Work — Economist Services in Russia Moscow</w:t>
      </w:r>
    </w:p>
    <w:p>
      <w:pPr>
        <w:pStyle w:val="FirstParagraph"/>
      </w:pPr>
      <w:r>
        <w:t xml:space="preserve">The following Quotation Estimate outlines the comprehensive scope of services to be delivered by a senior Economist engaged through Moscow Economic Advisory Group LLC. The Economist will operate primarily from our offices in central Russia Moscow, with the flexibility to conduct fieldwork, stakeholder meetings, and data collection across the Moscow region and select federal districts as required by the project mandate.</w:t>
      </w:r>
    </w:p>
    <w:p>
      <w:pPr>
        <w:pStyle w:val="BodyText"/>
      </w:pPr>
      <w:r>
        <w:t xml:space="preserve">The Economist's responsibilities under this engagement include, but are not limited to:</w:t>
      </w:r>
    </w:p>
    <w:p>
      <w:pPr>
        <w:numPr>
          <w:ilvl w:val="0"/>
          <w:numId w:val="1001"/>
        </w:numPr>
        <w:pStyle w:val="Compact"/>
      </w:pPr>
      <w:r>
        <w:rPr>
          <w:bCs/>
          <w:b/>
        </w:rPr>
        <w:t xml:space="preserve">Macroeconomic Analysis:</w:t>
      </w:r>
      <w:r>
        <w:t xml:space="preserve"> </w:t>
      </w:r>
      <w:r>
        <w:t xml:space="preserve">Production of quarterly and annual macroeconomic reports covering GDP growth, inflation trends, monetary policy implications, and fiscal outlook specific to the Russia Moscow economic zone and the Russian Federation as a whole.</w:t>
      </w:r>
    </w:p>
    <w:p>
      <w:pPr>
        <w:numPr>
          <w:ilvl w:val="0"/>
          <w:numId w:val="1001"/>
        </w:numPr>
        <w:pStyle w:val="Compact"/>
      </w:pPr>
      <w:r>
        <w:rPr>
          <w:bCs/>
          <w:b/>
        </w:rPr>
        <w:t xml:space="preserve">Industry-Specific Forecasting:</w:t>
      </w:r>
      <w:r>
        <w:t xml:space="preserve"> </w:t>
      </w:r>
      <w:r>
        <w:t xml:space="preserve">Development of detailed sectoral forecasts for manufacturing, energy, agriculture, and services sectors operating within Russia Moscow, incorporating local regulatory changes, trade dynamics, and supply-chain considerations.</w:t>
      </w:r>
    </w:p>
    <w:p>
      <w:pPr>
        <w:numPr>
          <w:ilvl w:val="0"/>
          <w:numId w:val="1001"/>
        </w:numPr>
        <w:pStyle w:val="Compact"/>
      </w:pPr>
      <w:r>
        <w:rPr>
          <w:bCs/>
          <w:b/>
        </w:rPr>
        <w:t xml:space="preserve">Policy Advisory:</w:t>
      </w:r>
      <w:r>
        <w:t xml:space="preserve"> </w:t>
      </w:r>
      <w:r>
        <w:t xml:space="preserve">Provision of expert economic commentary and policy recommendations to the client's executive leadership, drawing upon the Economist's deep familiarity with Russian federal and municipal economic regulations in force in Russia Moscow.</w:t>
      </w:r>
    </w:p>
    <w:p>
      <w:pPr>
        <w:numPr>
          <w:ilvl w:val="0"/>
          <w:numId w:val="1001"/>
        </w:numPr>
        <w:pStyle w:val="Compact"/>
      </w:pPr>
      <w:r>
        <w:rPr>
          <w:bCs/>
          <w:b/>
        </w:rPr>
        <w:t xml:space="preserve">Market Research &amp; Data Modelling:</w:t>
      </w:r>
      <w:r>
        <w:t xml:space="preserve"> </w:t>
      </w:r>
      <w:r>
        <w:t xml:space="preserve">Construction and maintenance of econometric models calibrated to Russia Moscow market data, including labour market indicators, consumer price indices, and regional investment flows.</w:t>
      </w:r>
    </w:p>
    <w:p>
      <w:pPr>
        <w:numPr>
          <w:ilvl w:val="0"/>
          <w:numId w:val="1001"/>
        </w:numPr>
        <w:pStyle w:val="Compact"/>
      </w:pPr>
      <w:r>
        <w:rPr>
          <w:bCs/>
          <w:b/>
        </w:rPr>
        <w:t xml:space="preserve">Stakeholder Engagement:</w:t>
      </w:r>
      <w:r>
        <w:t xml:space="preserve"> </w:t>
      </w:r>
      <w:r>
        <w:t xml:space="preserve">Representation of the client at economic forums, industry conferences, and regulatory consultations held in Russia Moscow, ensuring the client's interests are reflected in emerging policy discussions.</w:t>
      </w:r>
    </w:p>
    <w:p>
      <w:pPr>
        <w:numPr>
          <w:ilvl w:val="0"/>
          <w:numId w:val="1001"/>
        </w:numPr>
        <w:pStyle w:val="Compact"/>
      </w:pPr>
      <w:r>
        <w:rPr>
          <w:bCs/>
          <w:b/>
        </w:rPr>
        <w:t xml:space="preserve">Reporting &amp; Presentation:</w:t>
      </w:r>
      <w:r>
        <w:t xml:space="preserve"> </w:t>
      </w:r>
      <w:r>
        <w:t xml:space="preserve">Delivery of monthly written reports, ad-hoc analytical briefs, and in-person presentations to the client's board of directors and senior management team.</w:t>
      </w:r>
    </w:p>
    <w:bookmarkEnd w:id="22"/>
    <w:bookmarkStart w:id="23" w:name="quotation-estimate-fee-schedule"/>
    <w:p>
      <w:pPr>
        <w:pStyle w:val="Heading2"/>
      </w:pPr>
      <w:r>
        <w:t xml:space="preserve">3. Quotation Estimate — Fee Schedule</w:t>
      </w:r>
    </w:p>
    <w:p>
      <w:pPr>
        <w:pStyle w:val="FirstParagraph"/>
      </w:pPr>
      <w:r>
        <w:t xml:space="preserve">The following table constitutes the detailed Quotation Estimate for the Economist engagement. All fees are quoted in Russian Rubles (RUB) with an equivalent US Dollar (USD) reference at the Central Bank of Russia exchange rate prevailing on the date of this Quotation Estimate. The Economist's compensation structure is designed to reflect the seniority, specialization, and market demand for qualified economic professionals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(RUB)</w:t>
            </w:r>
          </w:p>
        </w:tc>
        <w:tc>
          <w:tcPr/>
          <w:p>
            <w:pPr>
              <w:pStyle w:val="Compact"/>
              <w:jc w:val="left"/>
            </w:pPr>
            <w:r>
              <w:t xml:space="preserve">Unit Cost (USD)</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Economist — Monthly Retainer (full-time, 40 hrs/week)</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5,200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Macroeconomic Report Production (quarterly)</w:t>
            </w:r>
          </w:p>
        </w:tc>
        <w:tc>
          <w:tcPr/>
          <w:p>
            <w:pPr>
              <w:pStyle w:val="Compact"/>
              <w:jc w:val="left"/>
            </w:pPr>
            <w:r>
              <w:t xml:space="preserve">4 reports</w:t>
            </w:r>
          </w:p>
        </w:tc>
        <w:tc>
          <w:tcPr/>
          <w:p>
            <w:pPr>
              <w:pStyle w:val="Compact"/>
              <w:jc w:val="left"/>
            </w:pPr>
            <w:r>
              <w:t xml:space="preserve">185,000</w:t>
            </w:r>
          </w:p>
        </w:tc>
        <w:tc>
          <w:tcPr/>
          <w:p>
            <w:pPr>
              <w:pStyle w:val="Compact"/>
              <w:jc w:val="left"/>
            </w:pPr>
            <w:r>
              <w:t xml:space="preserve">2,000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Industry-Specific Forecasting Module (per sector)</w:t>
            </w:r>
          </w:p>
        </w:tc>
        <w:tc>
          <w:tcPr/>
          <w:p>
            <w:pPr>
              <w:pStyle w:val="Compact"/>
              <w:jc w:val="left"/>
            </w:pPr>
            <w:r>
              <w:t xml:space="preserve">4 sectors</w:t>
            </w:r>
          </w:p>
        </w:tc>
        <w:tc>
          <w:tcPr/>
          <w:p>
            <w:pPr>
              <w:pStyle w:val="Compact"/>
              <w:jc w:val="left"/>
            </w:pPr>
            <w:r>
              <w:t xml:space="preserve">220,000</w:t>
            </w:r>
          </w:p>
        </w:tc>
        <w:tc>
          <w:tcPr/>
          <w:p>
            <w:pPr>
              <w:pStyle w:val="Compact"/>
              <w:jc w:val="left"/>
            </w:pPr>
            <w:r>
              <w:t xml:space="preserve">2,380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Econometric Model Development &amp; Calibration</w:t>
            </w:r>
          </w:p>
        </w:tc>
        <w:tc>
          <w:tcPr/>
          <w:p>
            <w:pPr>
              <w:pStyle w:val="Compact"/>
              <w:jc w:val="left"/>
            </w:pPr>
            <w:r>
              <w:t xml:space="preserve">One-time + maintenance</w:t>
            </w:r>
          </w:p>
        </w:tc>
        <w:tc>
          <w:tcPr/>
          <w:p>
            <w:pPr>
              <w:pStyle w:val="Compact"/>
              <w:jc w:val="left"/>
            </w:pPr>
            <w:r>
              <w:t xml:space="preserve">350,000</w:t>
            </w:r>
          </w:p>
        </w:tc>
        <w:tc>
          <w:tcPr/>
          <w:p>
            <w:pPr>
              <w:pStyle w:val="Compact"/>
              <w:jc w:val="left"/>
            </w:pPr>
            <w:r>
              <w:t xml:space="preserve">3,780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Stakeholder Forum Participation &amp; Representation</w:t>
            </w:r>
          </w:p>
        </w:tc>
        <w:tc>
          <w:tcPr/>
          <w:p>
            <w:pPr>
              <w:pStyle w:val="Compact"/>
              <w:jc w:val="left"/>
            </w:pPr>
            <w:r>
              <w:t xml:space="preserve">6 events (est.)</w:t>
            </w:r>
          </w:p>
        </w:tc>
        <w:tc>
          <w:tcPr/>
          <w:p>
            <w:pPr>
              <w:pStyle w:val="Compact"/>
              <w:jc w:val="left"/>
            </w:pPr>
            <w:r>
              <w:t xml:space="preserve">45,000</w:t>
            </w:r>
          </w:p>
        </w:tc>
        <w:tc>
          <w:tcPr/>
          <w:p>
            <w:pPr>
              <w:pStyle w:val="Compact"/>
              <w:jc w:val="left"/>
            </w:pPr>
            <w:r>
              <w:t xml:space="preserve">488</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Ad-hoc Analytical Briefs (up to 8 per year)</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650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Travel &amp; Fieldwork within Russia Moscow Region</w:t>
            </w:r>
          </w:p>
        </w:tc>
        <w:tc>
          <w:tcPr/>
          <w:p>
            <w:pPr>
              <w:pStyle w:val="Compact"/>
              <w:jc w:val="left"/>
            </w:pPr>
            <w:r>
              <w:t xml:space="preserve">Annual allowance</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Administrative &amp; Licensing Fees (Economist registration, data access)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w:t>
            </w:r>
          </w:p>
        </w:tc>
        <w:tc>
          <w:tcPr/>
          <w:p>
            <w:pPr>
              <w:pStyle w:val="Compact"/>
              <w:jc w:val="left"/>
            </w:pPr>
            <w:r>
              <w:t xml:space="preserve">95,000</w:t>
            </w:r>
          </w:p>
        </w:tc>
      </w:tr>
      <w:tr>
        <w:tc>
          <w:tcPr>
            <w:gridSpan w:val="5"/>
          </w:tcPr>
          <w:p>
            <w:pPr>
              <w:pStyle w:val="Compact"/>
              <w:jc w:val="left"/>
            </w:pPr>
            <w:r>
              <w:t xml:space="preserve">TOTAL QUOTATION ESTIMATE (12-Month Engagement)</w:t>
            </w:r>
          </w:p>
        </w:tc>
        <w:tc>
          <w:tcPr/>
          <w:p>
            <w:pPr>
              <w:pStyle w:val="Compact"/>
              <w:jc w:val="left"/>
            </w:pPr>
            <w:r>
              <w:t xml:space="preserve">8,695,000 RUB</w:t>
            </w:r>
          </w:p>
        </w:tc>
      </w:tr>
      <w:tr>
        <w:tc>
          <w:tcPr>
            <w:gridSpan w:val="5"/>
          </w:tcPr>
          <w:p>
            <w:pPr>
              <w:pStyle w:val="Compact"/>
              <w:jc w:val="left"/>
            </w:pPr>
            <w:r>
              <w:t xml:space="preserve">TOTAL QUOTATION ESTIMATE (USD Equivalent)</w:t>
            </w:r>
          </w:p>
        </w:tc>
        <w:tc>
          <w:tcPr/>
          <w:p>
            <w:pPr>
              <w:pStyle w:val="Compact"/>
              <w:jc w:val="left"/>
            </w:pPr>
            <w:r>
              <w:t xml:space="preserve">94,258 USD</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ninety (90) calendar days from the date of issue. Beyond this period, all fees are subject to revision based on prevailing market conditions for Economist services in Russia Moscow.</w:t>
      </w:r>
    </w:p>
    <w:p>
      <w:pPr>
        <w:pStyle w:val="BodyText"/>
      </w:pPr>
      <w:r>
        <w:rPr>
          <w:bCs/>
          <w:b/>
        </w:rPr>
        <w:t xml:space="preserve">4.2 Payment Terms:</w:t>
      </w:r>
      <w:r>
        <w:t xml:space="preserve"> </w:t>
      </w:r>
      <w:r>
        <w:t xml:space="preserve">Payment shall be made in monthly installments, due within fifteen (15) business days of invoice issuance. A 10% mobilization fee is due upon execution of the master service agreement. All payments shall be made in Russian Rubles to the designated account of Moscow Economic Advisory Group LLC, in compliance with the Federal Law on Currency Regulation of the Russian Federation.</w:t>
      </w:r>
    </w:p>
    <w:p>
      <w:pPr>
        <w:pStyle w:val="BodyText"/>
      </w:pPr>
      <w:r>
        <w:rPr>
          <w:bCs/>
          <w:b/>
        </w:rPr>
        <w:t xml:space="preserve">4.3 Taxation:</w:t>
      </w:r>
      <w:r>
        <w:t xml:space="preserve"> </w:t>
      </w:r>
      <w:r>
        <w:t xml:space="preserve">All fees stated in this Quotation Estimate are exclusive of Value Added Tax (VAT) at the prevailing rate of 20% in Russia Moscow, unless otherwise specified. The client shall be responsible for any applicable withholding taxes or social contributions as mandated by Russian tax legislation.</w:t>
      </w:r>
    </w:p>
    <w:p>
      <w:pPr>
        <w:pStyle w:val="BodyText"/>
      </w:pPr>
      <w:r>
        <w:rPr>
          <w:bCs/>
          <w:b/>
        </w:rPr>
        <w:t xml:space="preserve">4.4 Confidentiality:</w:t>
      </w:r>
      <w:r>
        <w:t xml:space="preserve"> </w:t>
      </w:r>
      <w:r>
        <w:t xml:space="preserve">The Economist engaged under this Quotation Estimate shall be bound by a strict non-disclosure agreement. All economic data, forecasts, and analytical outputs produced for the client in connection with Russia Moscow operations shall be treated as proprietary and shall not be disclosed to third parties without written consent.</w:t>
      </w:r>
    </w:p>
    <w:p>
      <w:pPr>
        <w:pStyle w:val="BodyText"/>
      </w:pPr>
      <w:r>
        <w:rPr>
          <w:bCs/>
          <w:b/>
        </w:rPr>
        <w:t xml:space="preserve">4.5 Termination:</w:t>
      </w:r>
      <w:r>
        <w:t xml:space="preserve"> </w:t>
      </w:r>
      <w:r>
        <w:t xml:space="preserve">Either party may terminate the engagement with thirty (30) days' written notice. In the event of early termination, the client shall be liable for all fees accrued up to the termination date, plus a 5% administrative closure fee.</w:t>
      </w:r>
    </w:p>
    <w:p>
      <w:pPr>
        <w:pStyle w:val="BodyText"/>
      </w:pPr>
      <w:r>
        <w:rPr>
          <w:bCs/>
          <w:b/>
        </w:rPr>
        <w:t xml:space="preserve">4.6 Governing Law:</w:t>
      </w:r>
      <w:r>
        <w:t xml:space="preserve"> </w:t>
      </w:r>
      <w:r>
        <w:t xml:space="preserve">This Quotation Estimate and any resulting contract shall be governed by and construed in accordance with the civil and commercial laws of the Russian Federation, with jurisdiction vested in the Arbitrazh Court of Moscow, Russia Moscow.</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natural disasters, government sanctions, or regulatory changes affecting economic activity in Russia Moscow.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Economist services in Russia Moscow and agrees to the terms, conditions, and fee schedule set forth herein. This document does not constitute a binding contract until a formal Master Service Agreement is executed by both parties.</w:t>
      </w:r>
    </w:p>
    <w:bookmarkEnd w:id="25"/>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Moscow Economic Advisory Group LLC:</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QE-RM-2025-0472 | Moscow Economic Advisory Group LLC | Tverskaya Street 12, Moscow, 125009, Russia</w:t>
      </w:r>
    </w:p>
    <w:p>
      <w:pPr>
        <w:pStyle w:val="BodyText"/>
      </w:pPr>
      <w:r>
        <w:t xml:space="preserve">This document is the property of Moscow Economic Advisory Group LLC and is intended solely for the named client. Unauthorized reproduction or distribution of this Quotation Estimate is strictly prohibited.</w:t>
      </w:r>
    </w:p>
    <w:p>
      <w:pPr>
        <w:pStyle w:val="BodyText"/>
      </w:pPr>
      <w:r>
        <w:t xml:space="preserve">© 2025 Moscow Economic Advisory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Russia Moscow</dc:title>
  <dc:creator/>
  <dc:language>en</dc:language>
  <cp:keywords/>
  <dcterms:created xsi:type="dcterms:W3CDTF">2026-10-10T05:53:12Z</dcterms:created>
  <dcterms:modified xsi:type="dcterms:W3CDTF">2026-10-10T05:53:12Z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