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Economist</w:t>
      </w:r>
      <w:r>
        <w:t xml:space="preserve"> </w:t>
      </w:r>
      <w:r>
        <w:t xml:space="preserve">Services</w:t>
      </w:r>
      <w:r>
        <w:t xml:space="preserve"> </w:t>
      </w:r>
      <w:r>
        <w:t xml:space="preserve">-</w:t>
      </w:r>
      <w:r>
        <w:t xml:space="preserve"> </w:t>
      </w:r>
      <w:r>
        <w:t xml:space="preserve">Saudi</w:t>
      </w:r>
      <w:r>
        <w:t xml:space="preserve"> </w:t>
      </w:r>
      <w:r>
        <w:t xml:space="preserve">Arabia</w:t>
      </w:r>
      <w:r>
        <w:t xml:space="preserve"> </w:t>
      </w:r>
      <w:r>
        <w:t xml:space="preserve">Riyadh</w:t>
      </w:r>
    </w:p>
    <w:bookmarkStart w:id="20" w:name="quotation-estimate"/>
    <w:p>
      <w:pPr>
        <w:pStyle w:val="Heading1"/>
      </w:pPr>
      <w:r>
        <w:t xml:space="preserve">Quotation Estimate</w:t>
      </w:r>
    </w:p>
    <w:p>
      <w:pPr>
        <w:pStyle w:val="FirstParagraph"/>
      </w:pPr>
      <w:r>
        <w:t xml:space="preserve">Professional Economist Services &amp; Economic Advisory</w:t>
      </w:r>
    </w:p>
    <w:p>
      <w:pPr>
        <w:pStyle w:val="BodyText"/>
      </w:pPr>
      <w:r>
        <w:t xml:space="preserve">Riyadh, Saudi Arabia</w:t>
      </w:r>
    </w:p>
    <w:p>
      <w:pPr>
        <w:pStyle w:val="BodyText"/>
      </w:pPr>
      <w:r>
        <w:t xml:space="preserve">Document Reference: QE-ECON-2025-0047</w:t>
      </w:r>
    </w:p>
    <w:bookmarkEnd w:id="20"/>
    <w:p>
      <w:pPr>
        <w:pStyle w:val="BodyText"/>
      </w:pPr>
      <w:r>
        <w:rPr>
          <w:bCs/>
          <w:b/>
        </w:rPr>
        <w:t xml:space="preserve">Quotation Date:</w:t>
      </w:r>
      <w:r>
        <w:t xml:space="preserve"> </w:t>
      </w:r>
      <w:r>
        <w:t xml:space="preserve">15 June 2025</w:t>
      </w:r>
    </w:p>
    <w:p>
      <w:pPr>
        <w:pStyle w:val="BodyText"/>
      </w:pPr>
      <w:r>
        <w:rPr>
          <w:bCs/>
          <w:b/>
        </w:rPr>
        <w:t xml:space="preserve">Valid Until:</w:t>
      </w:r>
      <w:r>
        <w:t xml:space="preserve"> </w:t>
      </w:r>
      <w:r>
        <w:t xml:space="preserve">15 July 2025</w:t>
      </w:r>
    </w:p>
    <w:p>
      <w:pPr>
        <w:pStyle w:val="BodyText"/>
      </w:pPr>
      <w:r>
        <w:rPr>
          <w:bCs/>
          <w:b/>
        </w:rPr>
        <w:t xml:space="preserve">Prepared For:</w:t>
      </w:r>
      <w:r>
        <w:t xml:space="preserve"> </w:t>
      </w:r>
      <w:r>
        <w:t xml:space="preserve">Client Organization</w:t>
      </w:r>
    </w:p>
    <w:p>
      <w:pPr>
        <w:pStyle w:val="BodyText"/>
      </w:pPr>
      <w:r>
        <w:rPr>
          <w:bCs/>
          <w:b/>
        </w:rPr>
        <w:t xml:space="preserve">Prepared By:</w:t>
      </w:r>
      <w:r>
        <w:t xml:space="preserve"> </w:t>
      </w:r>
      <w:r>
        <w:t xml:space="preserve">Lead Economist, Riyadh Office</w:t>
      </w:r>
    </w:p>
    <w:bookmarkStart w:id="21" w:name="X091f0dfb82768bdcc14fb07ea5eabec314d991f"/>
    <w:p>
      <w:pPr>
        <w:pStyle w:val="Heading2"/>
      </w:pPr>
      <w:r>
        <w:t xml:space="preserve">1. Introduction and Purpose of This Quotation Estimate</w:t>
      </w:r>
    </w:p>
    <w:p>
      <w:pPr>
        <w:pStyle w:val="FirstParagraph"/>
      </w:pPr>
      <w:r>
        <w:t xml:space="preserve">This</w:t>
      </w:r>
      <w:r>
        <w:t xml:space="preserve"> </w:t>
      </w:r>
      <w:r>
        <w:t xml:space="preserve">Quotation Estimate</w:t>
      </w:r>
      <w:r>
        <w:t xml:space="preserve"> </w:t>
      </w:r>
      <w:r>
        <w:t xml:space="preserve">is formally issued to provide a comprehensive and transparent breakdown of professional services to be rendered by a qualified</w:t>
      </w:r>
      <w:r>
        <w:t xml:space="preserve"> </w:t>
      </w:r>
      <w:r>
        <w:t xml:space="preserve">Economist</w:t>
      </w:r>
      <w:r>
        <w:t xml:space="preserve"> </w:t>
      </w:r>
      <w:r>
        <w:t xml:space="preserve">engaged to deliver economic research, policy analysis, and strategic advisory support within the Kingdom of Saudi Arabia, specifically based in</w:t>
      </w:r>
      <w:r>
        <w:t xml:space="preserve"> </w:t>
      </w:r>
      <w:r>
        <w:t xml:space="preserve">Saudi Arabia Riyadh</w:t>
      </w:r>
      <w:r>
        <w:t xml:space="preserve">. This document outlines the full scope of deliverables, associated costs, timelines, and contractual terms governing the engagement. The</w:t>
      </w:r>
      <w:r>
        <w:t xml:space="preserve"> </w:t>
      </w:r>
      <w:r>
        <w:t xml:space="preserve">Economist</w:t>
      </w:r>
      <w:r>
        <w:t xml:space="preserve"> </w:t>
      </w:r>
      <w:r>
        <w:t xml:space="preserve">referenced herein holds advanced academic credentials in economics, with a minimum of ten (10) years of professional experience in macroeconomic analysis, fiscal policy evaluation, and market forecasting relevant to the Saudi Arabian economic landscape.</w:t>
      </w:r>
    </w:p>
    <w:bookmarkEnd w:id="21"/>
    <w:bookmarkStart w:id="22" w:name="scope-of-services"/>
    <w:p>
      <w:pPr>
        <w:pStyle w:val="Heading2"/>
      </w:pPr>
      <w:r>
        <w:t xml:space="preserve">2. Scope of Services</w:t>
      </w:r>
    </w:p>
    <w:p>
      <w:pPr>
        <w:pStyle w:val="FirstParagraph"/>
      </w:pPr>
      <w:r>
        <w:t xml:space="preserve">The</w:t>
      </w:r>
      <w:r>
        <w:t xml:space="preserve"> </w:t>
      </w:r>
      <w:r>
        <w:t xml:space="preserve">Economist</w:t>
      </w:r>
      <w:r>
        <w:t xml:space="preserve"> </w:t>
      </w:r>
      <w:r>
        <w:t xml:space="preserve">will provide the following services as part of this engagement in</w:t>
      </w:r>
      <w:r>
        <w:t xml:space="preserve"> </w:t>
      </w:r>
      <w:r>
        <w:t xml:space="preserve">Saudi Arabia Riyadh</w:t>
      </w:r>
      <w:r>
        <w:t xml:space="preserve">:</w:t>
      </w:r>
    </w:p>
    <w:p>
      <w:pPr>
        <w:numPr>
          <w:ilvl w:val="0"/>
          <w:numId w:val="1001"/>
        </w:numPr>
        <w:pStyle w:val="Compact"/>
      </w:pPr>
      <w:r>
        <w:rPr>
          <w:bCs/>
          <w:b/>
        </w:rPr>
        <w:t xml:space="preserve">Macroeconomic Analysis and Forecasting:</w:t>
      </w:r>
      <w:r>
        <w:t xml:space="preserve"> </w:t>
      </w:r>
      <w:r>
        <w:t xml:space="preserve">Quarterly and annual macroeconomic projections for the Kingdom of Saudi Arabia, including GDP growth estimates, inflation modeling, fiscal balance assessments, and oil price sensitivity analyses aligned with Vision 2030 economic objectives.</w:t>
      </w:r>
    </w:p>
    <w:p>
      <w:pPr>
        <w:numPr>
          <w:ilvl w:val="0"/>
          <w:numId w:val="1001"/>
        </w:numPr>
        <w:pStyle w:val="Compact"/>
      </w:pPr>
      <w:r>
        <w:rPr>
          <w:bCs/>
          <w:b/>
        </w:rPr>
        <w:t xml:space="preserve">Policy Advisory and Research Reports:</w:t>
      </w:r>
      <w:r>
        <w:t xml:space="preserve"> </w:t>
      </w:r>
      <w:r>
        <w:t xml:space="preserve">Preparation of in-depth research papers and policy briefs addressing structural economic reforms, diversification strategies, labor market dynamics, and public-private partnership frameworks specific to the Riyadh metropolitan region and the broader Kingdom.</w:t>
      </w:r>
    </w:p>
    <w:p>
      <w:pPr>
        <w:numPr>
          <w:ilvl w:val="0"/>
          <w:numId w:val="1001"/>
        </w:numPr>
        <w:pStyle w:val="Compact"/>
      </w:pPr>
      <w:r>
        <w:rPr>
          <w:bCs/>
          <w:b/>
        </w:rPr>
        <w:t xml:space="preserve">Market and Sector Analysis:</w:t>
      </w:r>
      <w:r>
        <w:t xml:space="preserve"> </w:t>
      </w:r>
      <w:r>
        <w:t xml:space="preserve">Detailed economic assessments of key sectors including construction, technology, healthcare, tourism, and renewable energy, with particular focus on investment opportunities and regulatory considerations within</w:t>
      </w:r>
      <w:r>
        <w:t xml:space="preserve"> </w:t>
      </w:r>
      <w:r>
        <w:t xml:space="preserve">Saudi Arabia Riyadh</w:t>
      </w:r>
      <w:r>
        <w:t xml:space="preserve">.</w:t>
      </w:r>
    </w:p>
    <w:p>
      <w:pPr>
        <w:numPr>
          <w:ilvl w:val="0"/>
          <w:numId w:val="1001"/>
        </w:numPr>
        <w:pStyle w:val="Compact"/>
      </w:pPr>
      <w:r>
        <w:rPr>
          <w:bCs/>
          <w:b/>
        </w:rPr>
        <w:t xml:space="preserve">Stakeholder Presentations and Workshops:</w:t>
      </w:r>
      <w:r>
        <w:t xml:space="preserve"> </w:t>
      </w:r>
      <w:r>
        <w:t xml:space="preserve">Delivery of executive-level presentations, board briefings, and facilitated workshops for senior leadership, government stakeholders, and institutional investors based in Riyadh.</w:t>
      </w:r>
    </w:p>
    <w:p>
      <w:pPr>
        <w:numPr>
          <w:ilvl w:val="0"/>
          <w:numId w:val="1001"/>
        </w:numPr>
        <w:pStyle w:val="Compact"/>
      </w:pPr>
      <w:r>
        <w:rPr>
          <w:bCs/>
          <w:b/>
        </w:rPr>
        <w:t xml:space="preserve">Ad-hoc Economic Consulting:</w:t>
      </w:r>
      <w:r>
        <w:t xml:space="preserve"> </w:t>
      </w:r>
      <w:r>
        <w:t xml:space="preserve">On-demand advisory support for strategic decision-making, feasibility studies, and economic impact assessments as required by the client throughout the engagement period.</w:t>
      </w:r>
    </w:p>
    <w:bookmarkEnd w:id="22"/>
    <w:bookmarkStart w:id="23" w:name="itemized-cost-breakdown"/>
    <w:p>
      <w:pPr>
        <w:pStyle w:val="Heading2"/>
      </w:pPr>
      <w:r>
        <w:t xml:space="preserve">3. Itemized Cost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 of Service</w:t>
            </w:r>
          </w:p>
        </w:tc>
        <w:tc>
          <w:tcPr/>
          <w:p>
            <w:pPr>
              <w:pStyle w:val="Compact"/>
              <w:jc w:val="left"/>
            </w:pPr>
            <w:r>
              <w:t xml:space="preserve">Duration / Frequency</w:t>
            </w:r>
          </w:p>
        </w:tc>
        <w:tc>
          <w:tcPr/>
          <w:p>
            <w:pPr>
              <w:pStyle w:val="Compact"/>
              <w:jc w:val="left"/>
            </w:pPr>
            <w:r>
              <w:t xml:space="preserve">Unit Cost (SAR)</w:t>
            </w:r>
          </w:p>
        </w:tc>
        <w:tc>
          <w:tcPr/>
          <w:p>
            <w:pPr>
              <w:pStyle w:val="Compact"/>
              <w:jc w:val="left"/>
            </w:pPr>
            <w:r>
              <w:t xml:space="preserve">Quantity</w:t>
            </w:r>
          </w:p>
        </w:tc>
        <w:tc>
          <w:tcPr/>
          <w:p>
            <w:pPr>
              <w:pStyle w:val="Compact"/>
              <w:jc w:val="left"/>
            </w:pPr>
            <w:r>
              <w:t xml:space="preserve">Total (SAR)</w:t>
            </w:r>
          </w:p>
        </w:tc>
      </w:tr>
      <w:tr>
        <w:tc>
          <w:tcPr/>
          <w:p>
            <w:pPr>
              <w:pStyle w:val="Compact"/>
              <w:jc w:val="left"/>
            </w:pPr>
            <w:r>
              <w:t xml:space="preserve">01</w:t>
            </w:r>
          </w:p>
        </w:tc>
        <w:tc>
          <w:tcPr/>
          <w:p>
            <w:pPr>
              <w:pStyle w:val="Compact"/>
              <w:jc w:val="left"/>
            </w:pPr>
            <w:r>
              <w:t xml:space="preserve">Macroeconomic Analysis &amp; Forecasting Reports</w:t>
            </w:r>
          </w:p>
        </w:tc>
        <w:tc>
          <w:tcPr/>
          <w:p>
            <w:pPr>
              <w:pStyle w:val="Compact"/>
              <w:jc w:val="left"/>
            </w:pPr>
            <w:r>
              <w:t xml:space="preserve">Quarterly (4 cycles)</w:t>
            </w:r>
          </w:p>
        </w:tc>
        <w:tc>
          <w:tcPr/>
          <w:p>
            <w:pPr>
              <w:pStyle w:val="Compact"/>
              <w:jc w:val="left"/>
            </w:pPr>
            <w:r>
              <w:t xml:space="preserve">45,000</w:t>
            </w:r>
          </w:p>
        </w:tc>
        <w:tc>
          <w:tcPr/>
          <w:p>
            <w:pPr>
              <w:pStyle w:val="Compact"/>
              <w:jc w:val="left"/>
            </w:pPr>
            <w:r>
              <w:t xml:space="preserve">4</w:t>
            </w:r>
          </w:p>
        </w:tc>
        <w:tc>
          <w:tcPr/>
          <w:p>
            <w:pPr>
              <w:pStyle w:val="Compact"/>
              <w:jc w:val="left"/>
            </w:pPr>
            <w:r>
              <w:t xml:space="preserve">180,000</w:t>
            </w:r>
          </w:p>
        </w:tc>
      </w:tr>
      <w:tr>
        <w:tc>
          <w:tcPr/>
          <w:p>
            <w:pPr>
              <w:pStyle w:val="Compact"/>
              <w:jc w:val="left"/>
            </w:pPr>
            <w:r>
              <w:t xml:space="preserve">02</w:t>
            </w:r>
          </w:p>
        </w:tc>
        <w:tc>
          <w:tcPr/>
          <w:p>
            <w:pPr>
              <w:pStyle w:val="Compact"/>
              <w:jc w:val="left"/>
            </w:pPr>
            <w:r>
              <w:t xml:space="preserve">Policy Advisory Research Papers</w:t>
            </w:r>
          </w:p>
        </w:tc>
        <w:tc>
          <w:tcPr/>
          <w:p>
            <w:pPr>
              <w:pStyle w:val="Compact"/>
              <w:jc w:val="left"/>
            </w:pPr>
            <w:r>
              <w:t xml:space="preserve">Monthly (12 cycles)</w:t>
            </w:r>
          </w:p>
        </w:tc>
        <w:tc>
          <w:tcPr/>
          <w:p>
            <w:pPr>
              <w:pStyle w:val="Compact"/>
              <w:jc w:val="left"/>
            </w:pPr>
            <w:r>
              <w:t xml:space="preserve">28,000</w:t>
            </w:r>
          </w:p>
        </w:tc>
        <w:tc>
          <w:tcPr/>
          <w:p>
            <w:pPr>
              <w:pStyle w:val="Compact"/>
              <w:jc w:val="left"/>
            </w:pPr>
            <w:r>
              <w:t xml:space="preserve">12</w:t>
            </w:r>
          </w:p>
        </w:tc>
        <w:tc>
          <w:tcPr/>
          <w:p>
            <w:pPr>
              <w:pStyle w:val="Compact"/>
              <w:jc w:val="left"/>
            </w:pPr>
            <w:r>
              <w:t xml:space="preserve">336,000</w:t>
            </w:r>
          </w:p>
        </w:tc>
      </w:tr>
      <w:tr>
        <w:tc>
          <w:tcPr/>
          <w:p>
            <w:pPr>
              <w:pStyle w:val="Compact"/>
              <w:jc w:val="left"/>
            </w:pPr>
            <w:r>
              <w:t xml:space="preserve">03</w:t>
            </w:r>
          </w:p>
        </w:tc>
        <w:tc>
          <w:tcPr/>
          <w:p>
            <w:pPr>
              <w:pStyle w:val="Compact"/>
              <w:jc w:val="left"/>
            </w:pPr>
            <w:r>
              <w:t xml:space="preserve">Market &amp; Sector Analysis (Riyadh Focus)</w:t>
            </w:r>
          </w:p>
        </w:tc>
        <w:tc>
          <w:tcPr/>
          <w:p>
            <w:pPr>
              <w:pStyle w:val="Compact"/>
              <w:jc w:val="left"/>
            </w:pPr>
            <w:r>
              <w:t xml:space="preserve">Bi-monthly (6 cycles)</w:t>
            </w:r>
          </w:p>
        </w:tc>
        <w:tc>
          <w:tcPr/>
          <w:p>
            <w:pPr>
              <w:pStyle w:val="Compact"/>
              <w:jc w:val="left"/>
            </w:pPr>
            <w:r>
              <w:t xml:space="preserve">35,000</w:t>
            </w:r>
          </w:p>
        </w:tc>
        <w:tc>
          <w:tcPr/>
          <w:p>
            <w:pPr>
              <w:pStyle w:val="Compact"/>
              <w:jc w:val="left"/>
            </w:pPr>
            <w:r>
              <w:t xml:space="preserve">6</w:t>
            </w:r>
          </w:p>
        </w:tc>
        <w:tc>
          <w:tcPr/>
          <w:p>
            <w:pPr>
              <w:pStyle w:val="Compact"/>
              <w:jc w:val="left"/>
            </w:pPr>
            <w:r>
              <w:t xml:space="preserve">210,000</w:t>
            </w:r>
          </w:p>
        </w:tc>
      </w:tr>
      <w:tr>
        <w:tc>
          <w:tcPr/>
          <w:p>
            <w:pPr>
              <w:pStyle w:val="Compact"/>
              <w:jc w:val="left"/>
            </w:pPr>
            <w:r>
              <w:t xml:space="preserve">04</w:t>
            </w:r>
          </w:p>
        </w:tc>
        <w:tc>
          <w:tcPr/>
          <w:p>
            <w:pPr>
              <w:pStyle w:val="Compact"/>
              <w:jc w:val="left"/>
            </w:pPr>
            <w:r>
              <w:t xml:space="preserve">Executive Presentations &amp; Workshops</w:t>
            </w:r>
          </w:p>
        </w:tc>
        <w:tc>
          <w:tcPr/>
          <w:p>
            <w:pPr>
              <w:pStyle w:val="Compact"/>
              <w:jc w:val="left"/>
            </w:pPr>
            <w:r>
              <w:t xml:space="preserve">Monthly (12 sessions)</w:t>
            </w:r>
          </w:p>
        </w:tc>
        <w:tc>
          <w:tcPr/>
          <w:p>
            <w:pPr>
              <w:pStyle w:val="Compact"/>
              <w:jc w:val="left"/>
            </w:pPr>
            <w:r>
              <w:t xml:space="preserve">18,000</w:t>
            </w:r>
          </w:p>
        </w:tc>
        <w:tc>
          <w:tcPr/>
          <w:p>
            <w:pPr>
              <w:pStyle w:val="Compact"/>
              <w:jc w:val="left"/>
            </w:pPr>
            <w:r>
              <w:t xml:space="preserve">12</w:t>
            </w:r>
          </w:p>
        </w:tc>
        <w:tc>
          <w:tcPr/>
          <w:p>
            <w:pPr>
              <w:pStyle w:val="Compact"/>
              <w:jc w:val="left"/>
            </w:pPr>
            <w:r>
              <w:t xml:space="preserve">216,000</w:t>
            </w:r>
          </w:p>
        </w:tc>
      </w:tr>
      <w:tr>
        <w:tc>
          <w:tcPr/>
          <w:p>
            <w:pPr>
              <w:pStyle w:val="Compact"/>
              <w:jc w:val="left"/>
            </w:pPr>
            <w:r>
              <w:t xml:space="preserve">05</w:t>
            </w:r>
          </w:p>
        </w:tc>
        <w:tc>
          <w:tcPr/>
          <w:p>
            <w:pPr>
              <w:pStyle w:val="Compact"/>
              <w:jc w:val="left"/>
            </w:pPr>
            <w:r>
              <w:t xml:space="preserve">Ad-hoc Economic Consulting (hourly rate)</w:t>
            </w:r>
          </w:p>
        </w:tc>
        <w:tc>
          <w:tcPr/>
          <w:p>
            <w:pPr>
              <w:pStyle w:val="Compact"/>
              <w:jc w:val="left"/>
            </w:pPr>
            <w:r>
              <w:t xml:space="preserve">Estimated 80 hours</w:t>
            </w:r>
          </w:p>
        </w:tc>
        <w:tc>
          <w:tcPr/>
          <w:p>
            <w:pPr>
              <w:pStyle w:val="Compact"/>
              <w:jc w:val="left"/>
            </w:pPr>
            <w:r>
              <w:t xml:space="preserve">2,500</w:t>
            </w:r>
          </w:p>
        </w:tc>
        <w:tc>
          <w:tcPr/>
          <w:p>
            <w:pPr>
              <w:pStyle w:val="Compact"/>
              <w:jc w:val="left"/>
            </w:pPr>
            <w:r>
              <w:t xml:space="preserve">80</w:t>
            </w:r>
          </w:p>
        </w:tc>
        <w:tc>
          <w:tcPr/>
          <w:p>
            <w:pPr>
              <w:pStyle w:val="Compact"/>
              <w:jc w:val="left"/>
            </w:pPr>
            <w:r>
              <w:t xml:space="preserve">200,000</w:t>
            </w:r>
          </w:p>
        </w:tc>
      </w:tr>
      <w:tr>
        <w:tc>
          <w:tcPr/>
          <w:p>
            <w:pPr>
              <w:pStyle w:val="Compact"/>
              <w:jc w:val="left"/>
            </w:pPr>
            <w:r>
              <w:t xml:space="preserve">06</w:t>
            </w:r>
          </w:p>
        </w:tc>
        <w:tc>
          <w:tcPr/>
          <w:p>
            <w:pPr>
              <w:pStyle w:val="Compact"/>
              <w:jc w:val="left"/>
            </w:pPr>
            <w:r>
              <w:t xml:space="preserve">Travel &amp; Local Transportation within Riyadh</w:t>
            </w:r>
          </w:p>
        </w:tc>
        <w:tc>
          <w:tcPr/>
          <w:p>
            <w:pPr>
              <w:pStyle w:val="Compact"/>
              <w:jc w:val="left"/>
            </w:pPr>
            <w:r>
              <w:t xml:space="preserve">Annual allocation</w:t>
            </w:r>
          </w:p>
        </w:tc>
        <w:tc>
          <w:tcPr/>
          <w:p>
            <w:pPr>
              <w:pStyle w:val="Compact"/>
              <w:jc w:val="left"/>
            </w:pPr>
            <w:r>
              <w:t xml:space="preserve">1</w:t>
            </w:r>
          </w:p>
        </w:tc>
        <w:tc>
          <w:tcPr/>
          <w:p>
            <w:pPr>
              <w:pStyle w:val="Compact"/>
              <w:jc w:val="left"/>
            </w:pPr>
            <w:r>
              <w:t xml:space="preserve">1</w:t>
            </w:r>
          </w:p>
        </w:tc>
        <w:tc>
          <w:tcPr/>
          <w:p>
            <w:pPr>
              <w:pStyle w:val="Compact"/>
              <w:jc w:val="left"/>
            </w:pPr>
            <w:r>
              <w:t xml:space="preserve">25,000</w:t>
            </w:r>
          </w:p>
        </w:tc>
      </w:tr>
      <w:tr>
        <w:tc>
          <w:tcPr/>
          <w:p>
            <w:pPr>
              <w:pStyle w:val="Compact"/>
              <w:jc w:val="left"/>
            </w:pPr>
            <w:r>
              <w:t xml:space="preserve">07</w:t>
            </w:r>
          </w:p>
        </w:tc>
        <w:tc>
          <w:tcPr/>
          <w:p>
            <w:pPr>
              <w:pStyle w:val="Compact"/>
              <w:jc w:val="left"/>
            </w:pPr>
            <w:r>
              <w:t xml:space="preserve">Data Licensing &amp; Research Subscriptions</w:t>
            </w:r>
          </w:p>
        </w:tc>
        <w:tc>
          <w:tcPr/>
          <w:p>
            <w:pPr>
              <w:pStyle w:val="Compact"/>
              <w:jc w:val="left"/>
            </w:pPr>
            <w:r>
              <w:t xml:space="preserve">Annual</w:t>
            </w:r>
          </w:p>
        </w:tc>
        <w:tc>
          <w:tcPr/>
          <w:p>
            <w:pPr>
              <w:pStyle w:val="Compact"/>
              <w:jc w:val="left"/>
            </w:pPr>
            <w:r>
              <w:t xml:space="preserve">1</w:t>
            </w:r>
          </w:p>
        </w:tc>
        <w:tc>
          <w:tcPr/>
          <w:p>
            <w:pPr>
              <w:pStyle w:val="Compact"/>
              <w:jc w:val="left"/>
            </w:pPr>
            <w:r>
              <w:t xml:space="preserve">1</w:t>
            </w:r>
          </w:p>
        </w:tc>
        <w:tc>
          <w:tcPr/>
          <w:p>
            <w:pPr>
              <w:pStyle w:val="Compact"/>
              <w:jc w:val="left"/>
            </w:pPr>
            <w:r>
              <w:t xml:space="preserve">45,000</w:t>
            </w:r>
          </w:p>
        </w:tc>
      </w:tr>
      <w:tr>
        <w:tc>
          <w:tcPr>
            <w:gridSpan w:val="5"/>
          </w:tcPr>
          <w:p>
            <w:pPr>
              <w:pStyle w:val="Compact"/>
              <w:jc w:val="left"/>
            </w:pPr>
            <w:r>
              <w:t xml:space="preserve">Subtotal</w:t>
            </w:r>
          </w:p>
        </w:tc>
        <w:tc>
          <w:tcPr/>
          <w:p>
            <w:pPr>
              <w:pStyle w:val="Compact"/>
              <w:jc w:val="left"/>
            </w:pPr>
            <w:r>
              <w:t xml:space="preserve">1,212,000</w:t>
            </w:r>
          </w:p>
        </w:tc>
      </w:tr>
      <w:tr>
        <w:tc>
          <w:tcPr>
            <w:gridSpan w:val="5"/>
          </w:tcPr>
          <w:p>
            <w:pPr>
              <w:pStyle w:val="Compact"/>
              <w:jc w:val="left"/>
            </w:pPr>
            <w:r>
              <w:t xml:space="preserve">VAT (15% - Saudi Arabia)</w:t>
            </w:r>
          </w:p>
        </w:tc>
        <w:tc>
          <w:tcPr/>
          <w:p>
            <w:pPr>
              <w:pStyle w:val="Compact"/>
              <w:jc w:val="left"/>
            </w:pPr>
            <w:r>
              <w:t xml:space="preserve">181,800</w:t>
            </w:r>
          </w:p>
        </w:tc>
      </w:tr>
      <w:tr>
        <w:tc>
          <w:tcPr>
            <w:gridSpan w:val="5"/>
          </w:tcPr>
          <w:p>
            <w:pPr>
              <w:pStyle w:val="Compact"/>
              <w:jc w:val="left"/>
            </w:pPr>
            <w:r>
              <w:t xml:space="preserve">Grand Total (SAR)</w:t>
            </w:r>
          </w:p>
        </w:tc>
        <w:tc>
          <w:tcPr/>
          <w:p>
            <w:pPr>
              <w:pStyle w:val="Compact"/>
              <w:jc w:val="left"/>
            </w:pPr>
            <w:r>
              <w:t xml:space="preserve">1,393,800</w:t>
            </w:r>
          </w:p>
        </w:tc>
      </w:tr>
    </w:tbl>
    <w:p>
      <w:pPr>
        <w:pStyle w:val="BodyText"/>
      </w:pPr>
      <w:r>
        <w:rPr>
          <w:bCs/>
          <w:b/>
        </w:rPr>
        <w:t xml:space="preserve">Note:</w:t>
      </w:r>
      <w:r>
        <w:t xml:space="preserve"> </w:t>
      </w:r>
      <w:r>
        <w:t xml:space="preserve">All prices are quoted in Saudi Riyals (SAR) and are inclusive of the</w:t>
      </w:r>
      <w:r>
        <w:t xml:space="preserve"> </w:t>
      </w:r>
      <w:r>
        <w:t xml:space="preserve">Economist</w:t>
      </w:r>
      <w:r>
        <w:t xml:space="preserve">'s professional fees. The 15% Value Added Tax (VAT) is applied in accordance with the General Authority of Zakat and Tax (GAZT) regulations in Saudi Arabia. This</w:t>
      </w:r>
      <w:r>
        <w:t xml:space="preserve"> </w:t>
      </w:r>
      <w:r>
        <w:t xml:space="preserve">Quotation Estimate</w:t>
      </w:r>
      <w:r>
        <w:t xml:space="preserve"> </w:t>
      </w:r>
      <w:r>
        <w:t xml:space="preserve">does not include costs for international travel, accommodation, or third-party data procurement beyond the listed allocations.</w:t>
      </w:r>
    </w:p>
    <w:bookmarkEnd w:id="23"/>
    <w:bookmarkStart w:id="24" w:name="payment-terms-and-schedule"/>
    <w:p>
      <w:pPr>
        <w:pStyle w:val="Heading2"/>
      </w:pPr>
      <w:r>
        <w:t xml:space="preserve">4. Payment Terms and Schedule</w:t>
      </w:r>
    </w:p>
    <w:p>
      <w:pPr>
        <w:pStyle w:val="FirstParagraph"/>
      </w:pPr>
      <w:r>
        <w:t xml:space="preserve">Payment for the services outlined in this</w:t>
      </w:r>
      <w:r>
        <w:t xml:space="preserve"> </w:t>
      </w:r>
      <w:r>
        <w:t xml:space="preserve">Quotation Estimate</w:t>
      </w:r>
      <w:r>
        <w:t xml:space="preserve"> </w:t>
      </w:r>
      <w:r>
        <w:t xml:space="preserve">shall be made in accordance with the following schedule:</w:t>
      </w:r>
    </w:p>
    <w:p>
      <w:pPr>
        <w:numPr>
          <w:ilvl w:val="0"/>
          <w:numId w:val="1002"/>
        </w:numPr>
        <w:pStyle w:val="Compact"/>
      </w:pPr>
      <w:r>
        <w:rPr>
          <w:bCs/>
          <w:b/>
        </w:rPr>
        <w:t xml:space="preserve">Advance Payment:</w:t>
      </w:r>
      <w:r>
        <w:t xml:space="preserve"> </w:t>
      </w:r>
      <w:r>
        <w:t xml:space="preserve">30% of the total contract value (SAR 418,140) due within fourteen (14) business days of contract execution.</w:t>
      </w:r>
    </w:p>
    <w:p>
      <w:pPr>
        <w:numPr>
          <w:ilvl w:val="0"/>
          <w:numId w:val="1002"/>
        </w:numPr>
        <w:pStyle w:val="Compact"/>
      </w:pPr>
      <w:r>
        <w:rPr>
          <w:bCs/>
          <w:b/>
        </w:rPr>
        <w:t xml:space="preserve">Progress Payments:</w:t>
      </w:r>
      <w:r>
        <w:t xml:space="preserve"> </w:t>
      </w:r>
      <w:r>
        <w:t xml:space="preserve">50% of the total contract value (SAR 696,900) payable in four equal quarterly installments (SAR 174,225 per quarter), due within thirty (30) days of each quarter's completion.</w:t>
      </w:r>
    </w:p>
    <w:p>
      <w:pPr>
        <w:numPr>
          <w:ilvl w:val="0"/>
          <w:numId w:val="1002"/>
        </w:numPr>
        <w:pStyle w:val="Compact"/>
      </w:pPr>
      <w:r>
        <w:rPr>
          <w:bCs/>
          <w:b/>
        </w:rPr>
        <w:t xml:space="preserve">Final Payment:</w:t>
      </w:r>
      <w:r>
        <w:t xml:space="preserve"> </w:t>
      </w:r>
      <w:r>
        <w:t xml:space="preserve">20% of the total contract value (SAR 278,760) due within thirty (30) days of the final deliverable acceptance and project closure.</w:t>
      </w:r>
    </w:p>
    <w:p>
      <w:pPr>
        <w:pStyle w:val="FirstParagraph"/>
      </w:pPr>
      <w:r>
        <w:t xml:space="preserve">All payments shall be made via bank transfer to the designated account of the service provider registered in</w:t>
      </w:r>
      <w:r>
        <w:t xml:space="preserve"> </w:t>
      </w:r>
      <w:r>
        <w:t xml:space="preserve">Saudi Arabia Riyadh</w:t>
      </w:r>
      <w:r>
        <w:t xml:space="preserve">. Late payments shall incur a penalty of 1.5% per month on the outstanding balance.</w:t>
      </w:r>
    </w:p>
    <w:bookmarkEnd w:id="24"/>
    <w:bookmarkStart w:id="25" w:name="terms-and-conditions"/>
    <w:p>
      <w:pPr>
        <w:pStyle w:val="Heading2"/>
      </w:pPr>
      <w:r>
        <w:t xml:space="preserve">5. Terms and Conditions</w:t>
      </w:r>
    </w:p>
    <w:p>
      <w:pPr>
        <w:numPr>
          <w:ilvl w:val="0"/>
          <w:numId w:val="1003"/>
        </w:numPr>
        <w:pStyle w:val="Compact"/>
      </w:pPr>
      <w:r>
        <w:t xml:space="preserve">This</w:t>
      </w:r>
      <w:r>
        <w:t xml:space="preserve"> </w:t>
      </w:r>
      <w:r>
        <w:t xml:space="preserve">Quotation Estimate</w:t>
      </w:r>
      <w:r>
        <w:t xml:space="preserve"> </w:t>
      </w:r>
      <w:r>
        <w:t xml:space="preserve">is valid for thirty (30) calendar days from the date of issue. Beyond this period, pricing and availability of the</w:t>
      </w:r>
      <w:r>
        <w:t xml:space="preserve"> </w:t>
      </w:r>
      <w:r>
        <w:t xml:space="preserve">Economist</w:t>
      </w:r>
      <w:r>
        <w:t xml:space="preserve"> </w:t>
      </w:r>
      <w:r>
        <w:t xml:space="preserve">are subject to re-evaluation.</w:t>
      </w:r>
    </w:p>
    <w:p>
      <w:pPr>
        <w:numPr>
          <w:ilvl w:val="0"/>
          <w:numId w:val="1003"/>
        </w:numPr>
        <w:pStyle w:val="Compact"/>
      </w:pPr>
      <w:r>
        <w:t xml:space="preserve">The</w:t>
      </w:r>
      <w:r>
        <w:t xml:space="preserve"> </w:t>
      </w:r>
      <w:r>
        <w:t xml:space="preserve">Economist</w:t>
      </w:r>
      <w:r>
        <w:t xml:space="preserve"> </w:t>
      </w:r>
      <w:r>
        <w:t xml:space="preserve">shall maintain strict confidentiality of all client data, proprietary information, and strategic documents in compliance with Saudi Arabian data protection regulations.</w:t>
      </w:r>
    </w:p>
    <w:p>
      <w:pPr>
        <w:numPr>
          <w:ilvl w:val="0"/>
          <w:numId w:val="1003"/>
        </w:numPr>
        <w:pStyle w:val="Compact"/>
      </w:pPr>
      <w:r>
        <w:t xml:space="preserve">All deliverables shall be produced in both Arabic and English to ensure accessibility for all stakeholders in</w:t>
      </w:r>
      <w:r>
        <w:t xml:space="preserve"> </w:t>
      </w:r>
      <w:r>
        <w:t xml:space="preserve">Saudi Arabia Riyadh</w:t>
      </w:r>
      <w:r>
        <w:t xml:space="preserve">.</w:t>
      </w:r>
    </w:p>
    <w:p>
      <w:pPr>
        <w:numPr>
          <w:ilvl w:val="0"/>
          <w:numId w:val="1003"/>
        </w:numPr>
        <w:pStyle w:val="Compact"/>
      </w:pPr>
      <w:r>
        <w:t xml:space="preserve">The client reserves the right to request revisions on any deliverable up to two (2) times per cycle at no additional cost. Further revisions will be billed at the hourly ad-hoc consulting rate.</w:t>
      </w:r>
    </w:p>
    <w:p>
      <w:pPr>
        <w:numPr>
          <w:ilvl w:val="0"/>
          <w:numId w:val="1003"/>
        </w:numPr>
        <w:pStyle w:val="Compact"/>
      </w:pPr>
      <w:r>
        <w:t xml:space="preserve">This engagement is governed by the laws of the Kingdom of Saudi Arabia. Any disputes shall be resolved through arbitration in Riyadh in accordance with the Saudi Center for Commercial Arbitration (SCCA) rules.</w:t>
      </w:r>
    </w:p>
    <w:p>
      <w:pPr>
        <w:numPr>
          <w:ilvl w:val="0"/>
          <w:numId w:val="1003"/>
        </w:numPr>
        <w:pStyle w:val="Compact"/>
      </w:pPr>
      <w:r>
        <w:t xml:space="preserve">The</w:t>
      </w:r>
      <w:r>
        <w:t xml:space="preserve"> </w:t>
      </w:r>
      <w:r>
        <w:t xml:space="preserve">Economist</w:t>
      </w:r>
      <w:r>
        <w:t xml:space="preserve"> </w:t>
      </w:r>
      <w:r>
        <w:t xml:space="preserve">shall not be held liable for decisions made by the client based on the analysis and recommendations provided, as all forecasts and projections are subject to inherent economic uncertainty.</w:t>
      </w:r>
    </w:p>
    <w:p>
      <w:pPr>
        <w:numPr>
          <w:ilvl w:val="0"/>
          <w:numId w:val="1003"/>
        </w:numPr>
        <w:pStyle w:val="Compact"/>
      </w:pPr>
      <w:r>
        <w:t xml:space="preserve">Either party may terminate this agreement with sixty (60) days' written notice. In such cases, the client shall pay for all services rendered up to the termination date.</w:t>
      </w:r>
    </w:p>
    <w:bookmarkEnd w:id="25"/>
    <w:bookmarkStart w:id="26" w:name="acceptance-and-authorization"/>
    <w:p>
      <w:pPr>
        <w:pStyle w:val="Heading2"/>
      </w:pPr>
      <w:r>
        <w:t xml:space="preserve">6. Acceptance and Authorization</w:t>
      </w:r>
    </w:p>
    <w:p>
      <w:pPr>
        <w:pStyle w:val="FirstParagraph"/>
      </w:pPr>
      <w:r>
        <w:t xml:space="preserve">By signing below, the client acknowledges and accepts the terms, conditions, pricing, and scope of services as detailed in this</w:t>
      </w:r>
      <w:r>
        <w:t xml:space="preserve"> </w:t>
      </w:r>
      <w:r>
        <w:t xml:space="preserve">Quotation Estimate</w:t>
      </w:r>
      <w:r>
        <w:t xml:space="preserve"> </w:t>
      </w:r>
      <w:r>
        <w:t xml:space="preserve">for the engagement of the</w:t>
      </w:r>
      <w:r>
        <w:t xml:space="preserve"> </w:t>
      </w:r>
      <w:r>
        <w:t xml:space="preserve">Economist</w:t>
      </w:r>
      <w:r>
        <w:t xml:space="preserve"> </w:t>
      </w:r>
      <w:r>
        <w:t xml:space="preserve">in</w:t>
      </w:r>
      <w:r>
        <w:t xml:space="preserve"> </w:t>
      </w:r>
      <w:r>
        <w:t xml:space="preserve">Saudi Arabia Riyadh</w:t>
      </w:r>
      <w:r>
        <w:t xml:space="preserve">. This signature constitutes a binding agreement between both parties.</w:t>
      </w:r>
    </w:p>
    <w:p>
      <w:pPr>
        <w:pStyle w:val="BodyText"/>
      </w:pPr>
      <w:r>
        <w:rPr>
          <w:bCs/>
          <w:b/>
        </w:rPr>
        <w:t xml:space="preserve">For the Client:</w:t>
      </w:r>
    </w:p>
    <w:p>
      <w:pPr>
        <w:pStyle w:val="BodyText"/>
      </w:pPr>
      <w:r>
        <w:t xml:space="preserve">Name / Title / Signature / Date</w:t>
      </w:r>
    </w:p>
    <w:p>
      <w:pPr>
        <w:pStyle w:val="BodyText"/>
      </w:pPr>
      <w:r>
        <w:rPr>
          <w:bCs/>
          <w:b/>
        </w:rPr>
        <w:t xml:space="preserve">For the Service Provider (Economist):</w:t>
      </w:r>
    </w:p>
    <w:p>
      <w:pPr>
        <w:pStyle w:val="BodyText"/>
      </w:pPr>
      <w:r>
        <w:t xml:space="preserve">Name / Title / Signature / Date</w:t>
      </w:r>
    </w:p>
    <w:p>
      <w:pPr>
        <w:pStyle w:val="BodyText"/>
      </w:pPr>
      <w:r>
        <w:t xml:space="preserve">This Quotation Estimate document was prepared for professional services engagement in Saudi Arabia Riyadh. All rights reserved. © 2025. Document QE-ECON-2025-0047. This document is confidential and intended solely for the named recipient.</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Economist Services - Saudi Arabia Riyadh</dc:title>
  <dc:creator/>
  <dc:language>en</dc:language>
  <cp:keywords/>
  <dcterms:created xsi:type="dcterms:W3CDTF">2026-10-10T06:49:57Z</dcterms:created>
  <dcterms:modified xsi:type="dcterms:W3CDTF">2026-10-10T06:49:57Z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content-width=device-width, initial-scale=1.0</vt:lpwstr>
  </property>
</Properties>
</file>