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Meridian Economic Advisory Group Co., Ltd.</w:t>
      </w:r>
    </w:p>
    <w:p>
      <w:pPr>
        <w:pStyle w:val="BodyText"/>
      </w:pPr>
      <w:r>
        <w:t xml:space="preserve">128th Floor, Sathorn Naree Tower, 99/9 New Petchaburi Road, Lumphini, Pathum Wan,</w:t>
      </w:r>
      <w:r>
        <w:t xml:space="preserve"> </w:t>
      </w:r>
      <w:r>
        <w:t xml:space="preserve">Thailand Bangkok</w:t>
      </w:r>
      <w:r>
        <w:t xml:space="preserve"> </w:t>
      </w:r>
      <w:r>
        <w:t xml:space="preserve">10330</w:t>
      </w:r>
    </w:p>
    <w:p>
      <w:pPr>
        <w:pStyle w:val="BodyText"/>
      </w:pPr>
      <w:r>
        <w:t xml:space="preserve">Tel: +66 (0) 2 888 4500 | Email: quotations@meridian-econ-th.com | VAT Reg: 0105559876543</w:t>
      </w:r>
    </w:p>
    <w:bookmarkEnd w:id="20"/>
    <w:p>
      <w:pPr>
        <w:pStyle w:val="BodyText"/>
      </w:pPr>
      <w:r>
        <w:rPr>
          <w:bCs/>
          <w:b/>
        </w:rPr>
        <w:t xml:space="preserve">Quotation Estimate No.:</w:t>
      </w:r>
      <w:r>
        <w:t xml:space="preserve"> </w:t>
      </w:r>
      <w:r>
        <w:t xml:space="preserve">QTE-THB-2025-04782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Co., Ltd. to provide a comprehensive and itemized cost breakdown for the engagement of a senior</w:t>
      </w:r>
      <w:r>
        <w:t xml:space="preserve"> </w:t>
      </w:r>
      <w:r>
        <w:t xml:space="preserve">Economist</w:t>
      </w:r>
      <w:r>
        <w:t xml:space="preserve"> </w:t>
      </w:r>
      <w:r>
        <w:t xml:space="preserve">to deliver specialized economic research, policy analysis, and strategic advisory services within the</w:t>
      </w:r>
      <w:r>
        <w:t xml:space="preserve"> </w:t>
      </w:r>
      <w:r>
        <w:t xml:space="preserve">Thailand Bangkok</w:t>
      </w:r>
      <w:r>
        <w:t xml:space="preserve"> </w:t>
      </w:r>
      <w:r>
        <w:t xml:space="preserve">metropolitan region and its surrounding economic corridors. This document serves as a formal</w:t>
      </w:r>
      <w:r>
        <w:t xml:space="preserve"> </w:t>
      </w:r>
      <w:r>
        <w:t xml:space="preserve">Quotation Estimate</w:t>
      </w:r>
      <w:r>
        <w:t xml:space="preserve"> </w:t>
      </w:r>
      <w:r>
        <w:t xml:space="preserve">outlining all professional fees, travel allowances, and ancillary costs associated with the proposed</w:t>
      </w:r>
      <w:r>
        <w:t xml:space="preserve"> </w:t>
      </w:r>
      <w:r>
        <w:t xml:space="preserve">Economist</w:t>
      </w:r>
      <w:r>
        <w:t xml:space="preserve"> </w:t>
      </w:r>
      <w:r>
        <w:t xml:space="preserve">engagement in</w:t>
      </w:r>
      <w:r>
        <w:t xml:space="preserve"> </w:t>
      </w:r>
      <w:r>
        <w:t xml:space="preserve">Thailand Bangkok</w:t>
      </w:r>
      <w:r>
        <w:t xml:space="preserve">.</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possess a minimum of fifteen (15) years of experience in macroeconomic analysis, trade policy, and regional economic development, with specific expertise in the Southeast Asian market and the</w:t>
      </w:r>
      <w:r>
        <w:t xml:space="preserve"> </w:t>
      </w:r>
      <w:r>
        <w:t xml:space="preserve">Thailand Bangkok</w:t>
      </w:r>
      <w:r>
        <w:t xml:space="preserve"> </w:t>
      </w:r>
      <w:r>
        <w:t xml:space="preserve">business ecosystem. The scope of work encompasses quarterly economic outlook reports, real-time market intelligence briefings, and bespoke policy impact assessments tailored to the client's operational footprint in</w:t>
      </w:r>
      <w:r>
        <w:t xml:space="preserve"> </w:t>
      </w:r>
      <w:r>
        <w:t xml:space="preserve">Thailand Bangkok</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w:t>
            </w:r>
            <w:r>
              <w:t xml:space="preserve"> </w:t>
            </w:r>
            <w:r>
              <w:t xml:space="preserve">Economist</w:t>
            </w:r>
            <w:r>
              <w:t xml:space="preserve"> </w:t>
            </w:r>
            <w:r>
              <w:t xml:space="preserve">– Monthly Retainer for Economic Research &amp; Analysis in</w:t>
            </w:r>
            <w:r>
              <w:t xml:space="preserve"> </w:t>
            </w:r>
            <w:r>
              <w:t xml:space="preserve">Thailand Bangkok</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Includes 160 hrs/month</w:t>
            </w:r>
          </w:p>
        </w:tc>
      </w:tr>
      <w:tr>
        <w:tc>
          <w:tcPr/>
          <w:p>
            <w:pPr>
              <w:pStyle w:val="Compact"/>
              <w:jc w:val="left"/>
            </w:pPr>
            <w:r>
              <w:t xml:space="preserve">02</w:t>
            </w:r>
          </w:p>
        </w:tc>
        <w:tc>
          <w:tcPr/>
          <w:p>
            <w:pPr>
              <w:pStyle w:val="Compact"/>
              <w:jc w:val="left"/>
            </w:pPr>
            <w:r>
              <w:t xml:space="preserve">Quarterly Macroeconomic Outlook Report –</w:t>
            </w:r>
            <w:r>
              <w:t xml:space="preserve"> </w:t>
            </w:r>
            <w:r>
              <w:t xml:space="preserve">Thailand Bangkok</w:t>
            </w:r>
            <w:r>
              <w:t xml:space="preserve"> </w:t>
            </w:r>
            <w:r>
              <w:t xml:space="preserve">&amp; ASEAN Region</w:t>
            </w:r>
          </w:p>
        </w:tc>
        <w:tc>
          <w:tcPr/>
          <w:p>
            <w:pPr>
              <w:pStyle w:val="Compact"/>
              <w:jc w:val="left"/>
            </w:pPr>
            <w:r>
              <w:t xml:space="preserve">4 reports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50+ pages each</w:t>
            </w:r>
          </w:p>
        </w:tc>
      </w:tr>
      <w:tr>
        <w:tc>
          <w:tcPr/>
          <w:p>
            <w:pPr>
              <w:pStyle w:val="Compact"/>
              <w:jc w:val="left"/>
            </w:pPr>
            <w:r>
              <w:t xml:space="preserve">03</w:t>
            </w:r>
          </w:p>
        </w:tc>
        <w:tc>
          <w:tcPr/>
          <w:p>
            <w:pPr>
              <w:pStyle w:val="Compact"/>
              <w:jc w:val="left"/>
            </w:pPr>
            <w:r>
              <w:t xml:space="preserve">Ad-Hoc Policy Impact Assessment (up to 4 per year)</w:t>
            </w:r>
          </w:p>
        </w:tc>
        <w:tc>
          <w:tcPr/>
          <w:p>
            <w:pPr>
              <w:pStyle w:val="Compact"/>
              <w:jc w:val="left"/>
            </w:pPr>
            <w:r>
              <w:t xml:space="preserve">Per engagement</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Max 5 days each</w:t>
            </w:r>
          </w:p>
        </w:tc>
      </w:tr>
      <w:tr>
        <w:tc>
          <w:tcPr/>
          <w:p>
            <w:pPr>
              <w:pStyle w:val="Compact"/>
              <w:jc w:val="left"/>
            </w:pPr>
            <w:r>
              <w:t xml:space="preserve">04</w:t>
            </w:r>
          </w:p>
        </w:tc>
        <w:tc>
          <w:tcPr/>
          <w:p>
            <w:pPr>
              <w:pStyle w:val="Compact"/>
              <w:jc w:val="left"/>
            </w:pPr>
            <w:r>
              <w:t xml:space="preserve">Executive Briefing Sessions with</w:t>
            </w:r>
            <w:r>
              <w:t xml:space="preserve"> </w:t>
            </w:r>
            <w:r>
              <w:t xml:space="preserve">Economist</w:t>
            </w:r>
            <w:r>
              <w:t xml:space="preserve"> </w:t>
            </w:r>
            <w:r>
              <w:t xml:space="preserve">(in-person,</w:t>
            </w:r>
            <w:r>
              <w:t xml:space="preserve"> </w:t>
            </w:r>
            <w:r>
              <w:t xml:space="preserve">Thailand Bangkok</w:t>
            </w:r>
            <w:r>
              <w:t xml:space="preserve"> </w:t>
            </w:r>
            <w:r>
              <w:t xml:space="preserve">offices)</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Half-day each</w:t>
            </w:r>
          </w:p>
        </w:tc>
      </w:tr>
      <w:tr>
        <w:tc>
          <w:tcPr/>
          <w:p>
            <w:pPr>
              <w:pStyle w:val="Compact"/>
              <w:jc w:val="left"/>
            </w:pPr>
            <w:r>
              <w:t xml:space="preserve">05</w:t>
            </w:r>
          </w:p>
        </w:tc>
        <w:tc>
          <w:tcPr/>
          <w:p>
            <w:pPr>
              <w:pStyle w:val="Compact"/>
              <w:jc w:val="left"/>
            </w:pPr>
            <w:r>
              <w:t xml:space="preserve">Travel &amp; Local Transportation within</w:t>
            </w:r>
            <w:r>
              <w:t xml:space="preserve"> </w:t>
            </w:r>
            <w:r>
              <w:t xml:space="preserve">Thailand Bangkok</w:t>
            </w:r>
            <w:r>
              <w:t xml:space="preserve"> </w:t>
            </w:r>
            <w:r>
              <w:t xml:space="preserve">Metropolitan Area</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Monthly allowance</w:t>
            </w:r>
          </w:p>
        </w:tc>
      </w:tr>
      <w:tr>
        <w:tc>
          <w:tcPr/>
          <w:p>
            <w:pPr>
              <w:pStyle w:val="Compact"/>
              <w:jc w:val="left"/>
            </w:pPr>
            <w:r>
              <w:t xml:space="preserve">06</w:t>
            </w:r>
          </w:p>
        </w:tc>
        <w:tc>
          <w:tcPr/>
          <w:p>
            <w:pPr>
              <w:pStyle w:val="Compact"/>
              <w:jc w:val="left"/>
            </w:pPr>
            <w:r>
              <w:t xml:space="preserve">Data Licensing &amp; Research Database Access (Bloomberg, IMF, World Bank, Bank of Thailand)</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c>
          <w:tcPr/>
          <w:p>
            <w:pPr>
              <w:pStyle w:val="Compact"/>
              <w:jc w:val="left"/>
            </w:pPr>
            <w:r>
              <w:t xml:space="preserve">Annual subscription</w:t>
            </w:r>
          </w:p>
        </w:tc>
      </w:tr>
      <w:tr>
        <w:tc>
          <w:tcPr/>
          <w:p>
            <w:pPr>
              <w:pStyle w:val="Compact"/>
              <w:jc w:val="left"/>
            </w:pPr>
            <w:r>
              <w:t xml:space="preserve">07</w:t>
            </w:r>
          </w:p>
        </w:tc>
        <w:tc>
          <w:tcPr/>
          <w:p>
            <w:pPr>
              <w:pStyle w:val="Compact"/>
              <w:jc w:val="left"/>
            </w:pPr>
            <w:r>
              <w:t xml:space="preserve">Project Management &amp; Administrative Support</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Dedicated coordinator</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316,800</w:t>
            </w:r>
          </w:p>
        </w:tc>
        <w:tc>
          <w:tcPr/>
          <w:p>
            <w:pPr>
              <w:pStyle w:val="Compact"/>
              <w:jc w:val="left"/>
            </w:pPr>
            <w:r>
              <w:t xml:space="preserve">Calculated on items 01–07</w:t>
            </w:r>
          </w:p>
        </w:tc>
      </w:tr>
      <w:tr>
        <w:tc>
          <w:tcPr>
            <w:gridSpan w:val="4"/>
          </w:tcPr>
          <w:p>
            <w:pPr>
              <w:pStyle w:val="Compact"/>
              <w:jc w:val="right"/>
            </w:pPr>
            <w:r>
              <w:t xml:space="preserve">Subtotal (THB)</w:t>
            </w:r>
          </w:p>
        </w:tc>
        <w:tc>
          <w:tcPr/>
          <w:p>
            <w:pPr>
              <w:pStyle w:val="Compact"/>
              <w:jc w:val="left"/>
            </w:pPr>
            <w:r>
              <w:t xml:space="preserve">6,072,800</w:t>
            </w:r>
          </w:p>
        </w:tc>
        <w:tc>
          <w:tcPr/>
          <w:p>
            <w:pPr>
              <w:pStyle w:val="Compact"/>
            </w:pPr>
          </w:p>
        </w:tc>
      </w:tr>
      <w:tr>
        <w:tc>
          <w:tcPr>
            <w:gridSpan w:val="4"/>
          </w:tcPr>
          <w:p>
            <w:pPr>
              <w:pStyle w:val="Compact"/>
              <w:jc w:val="right"/>
            </w:pPr>
            <w:r>
              <w:t xml:space="preserve">VAT 7% (Thailand Revenue Code)</w:t>
            </w:r>
          </w:p>
        </w:tc>
        <w:tc>
          <w:tcPr/>
          <w:p>
            <w:pPr>
              <w:pStyle w:val="Compact"/>
              <w:jc w:val="left"/>
            </w:pPr>
            <w:r>
              <w:t xml:space="preserve">425,096</w:t>
            </w:r>
          </w:p>
        </w:tc>
        <w:tc>
          <w:tcPr/>
          <w:p>
            <w:pPr>
              <w:pStyle w:val="Compact"/>
            </w:pPr>
          </w:p>
        </w:tc>
      </w:tr>
      <w:tr>
        <w:tc>
          <w:tcPr>
            <w:gridSpan w:val="4"/>
          </w:tcPr>
          <w:p>
            <w:pPr>
              <w:pStyle w:val="Compact"/>
              <w:jc w:val="right"/>
            </w:pPr>
            <w:r>
              <w:t xml:space="preserve">TOTAL AMOUNT DUE (THB)</w:t>
            </w:r>
          </w:p>
        </w:tc>
        <w:tc>
          <w:tcPr/>
          <w:p>
            <w:pPr>
              <w:pStyle w:val="Compact"/>
              <w:jc w:val="left"/>
            </w:pPr>
            <w:r>
              <w:t xml:space="preserve">6,497,896</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re-confirmation of all rates and availability of the designated</w:t>
      </w:r>
      <w:r>
        <w:t xml:space="preserve"> </w:t>
      </w:r>
      <w:r>
        <w:t xml:space="preserve">Economist</w:t>
      </w:r>
      <w:r>
        <w:t xml:space="preserve">.</w:t>
      </w:r>
    </w:p>
    <w:p>
      <w:pPr>
        <w:numPr>
          <w:ilvl w:val="0"/>
          <w:numId w:val="1001"/>
        </w:numPr>
        <w:pStyle w:val="Compact"/>
      </w:pPr>
      <w:r>
        <w:t xml:space="preserve">All fees quoted in this</w:t>
      </w:r>
      <w:r>
        <w:t xml:space="preserve"> </w:t>
      </w:r>
      <w:r>
        <w:t xml:space="preserve">Quotation Estimate</w:t>
      </w:r>
      <w:r>
        <w:t xml:space="preserve"> </w:t>
      </w:r>
      <w:r>
        <w:t xml:space="preserve">are denominated in Thai Baht (THB) and are subject to the prevailing 7% Value Added Tax (VAT) as mandated by the Revenue Department of</w:t>
      </w:r>
      <w:r>
        <w:t xml:space="preserve"> </w:t>
      </w:r>
      <w:r>
        <w:t xml:space="preserve">Thailand Bangkok</w:t>
      </w:r>
      <w:r>
        <w:t xml:space="preserve">.</w:t>
      </w:r>
    </w:p>
    <w:p>
      <w:pPr>
        <w:numPr>
          <w:ilvl w:val="0"/>
          <w:numId w:val="1001"/>
        </w:numPr>
        <w:pStyle w:val="Compact"/>
      </w:pPr>
      <w:r>
        <w:t xml:space="preserve">The</w:t>
      </w:r>
      <w:r>
        <w:t xml:space="preserve"> </w:t>
      </w:r>
      <w:r>
        <w:t xml:space="preserve">Economist</w:t>
      </w:r>
      <w:r>
        <w:t xml:space="preserve"> </w:t>
      </w:r>
      <w:r>
        <w:t xml:space="preserve">shall devote a minimum of 160 professional hours per month to the client's engagement. Hours exceeding the retainer will be billed at a rate of THB 2,500 per hour, subject to prior written approval.</w:t>
      </w:r>
    </w:p>
    <w:p>
      <w:pPr>
        <w:numPr>
          <w:ilvl w:val="0"/>
          <w:numId w:val="1001"/>
        </w:numPr>
        <w:pStyle w:val="Compact"/>
      </w:pPr>
      <w:r>
        <w:t xml:space="preserve">All deliverables, including reports, briefings, and analyses produced by the</w:t>
      </w:r>
      <w:r>
        <w:t xml:space="preserve"> </w:t>
      </w:r>
      <w:r>
        <w:t xml:space="preserve">Economist</w:t>
      </w:r>
      <w:r>
        <w:t xml:space="preserve">, shall remain the exclusive intellectual property of the client upon full payment of the amounts specified in this</w:t>
      </w:r>
      <w:r>
        <w:t xml:space="preserve"> </w:t>
      </w:r>
      <w:r>
        <w:t xml:space="preserve">Quotation Estimate</w:t>
      </w:r>
      <w:r>
        <w:t xml:space="preserve">.</w:t>
      </w:r>
    </w:p>
    <w:p>
      <w:pPr>
        <w:numPr>
          <w:ilvl w:val="0"/>
          <w:numId w:val="1001"/>
        </w:numPr>
        <w:pStyle w:val="Compact"/>
      </w:pPr>
      <w:r>
        <w:t xml:space="preserve">Confidentiality: The</w:t>
      </w:r>
      <w:r>
        <w:t xml:space="preserve"> </w:t>
      </w:r>
      <w:r>
        <w:t xml:space="preserve">Economist</w:t>
      </w:r>
      <w:r>
        <w:t xml:space="preserve"> </w:t>
      </w:r>
      <w:r>
        <w:t xml:space="preserve">and all supporting staff are bound by a Non-Disclosure Agreement (NDA) covering all proprietary data, trade secrets, and strategic information shared during the engagement in</w:t>
      </w:r>
      <w:r>
        <w:t xml:space="preserve"> </w:t>
      </w:r>
      <w:r>
        <w:t xml:space="preserve">Thailand Bangkok</w:t>
      </w:r>
      <w:r>
        <w:t xml:space="preserve">.</w:t>
      </w:r>
    </w:p>
    <w:p>
      <w:pPr>
        <w:numPr>
          <w:ilvl w:val="0"/>
          <w:numId w:val="1001"/>
        </w:numPr>
        <w:pStyle w:val="Compact"/>
      </w:pPr>
      <w:r>
        <w:t xml:space="preserve">Force Majeure: Neither party shall be liable for delays or non-performance caused by natural disasters, government regulations, pandemics, or other events beyond reasonable control, particularly those affecting operations in</w:t>
      </w:r>
      <w:r>
        <w:t xml:space="preserve"> </w:t>
      </w:r>
      <w:r>
        <w:t xml:space="preserve">Thailand Bangkok</w:t>
      </w:r>
      <w:r>
        <w:t xml:space="preserve">.</w:t>
      </w:r>
    </w:p>
    <w:p>
      <w:pPr>
        <w:numPr>
          <w:ilvl w:val="0"/>
          <w:numId w:val="1001"/>
        </w:numPr>
        <w:pStyle w:val="Compact"/>
      </w:pPr>
      <w:r>
        <w:t xml:space="preserve">Termination: Either party may terminate the engagement with sixty (60) days' written notice. In such case, the client shall pay for all services rendered up to the termination date as outlined in this</w:t>
      </w:r>
      <w:r>
        <w:t xml:space="preserve"> </w:t>
      </w:r>
      <w:r>
        <w:t xml:space="preserve">Quotation Estimate</w:t>
      </w:r>
      <w:r>
        <w:t xml:space="preserv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quarterly installments, due within fifteen (15) business days of invoice issuance. The first installment is due upon execution of the service agreement. Payments shall be remitted via bank transfer to the following account held in</w:t>
      </w:r>
      <w:r>
        <w:t xml:space="preserve"> </w:t>
      </w:r>
      <w:r>
        <w:t xml:space="preserve">Thailand Bangkok</w:t>
      </w:r>
      <w:r>
        <w:t xml:space="preserve">:</w:t>
      </w:r>
    </w:p>
    <w:p>
      <w:pPr>
        <w:pStyle w:val="BodyText"/>
      </w:pPr>
      <w:r>
        <w:rPr>
          <w:bCs/>
          <w:b/>
        </w:rPr>
        <w:t xml:space="preserve">Bank:</w:t>
      </w:r>
      <w:r>
        <w:t xml:space="preserve"> </w:t>
      </w:r>
      <w:r>
        <w:t xml:space="preserve">Siam Commercial Bank, Sathorn Branch,</w:t>
      </w:r>
      <w:r>
        <w:t xml:space="preserve"> </w:t>
      </w:r>
      <w:r>
        <w:t xml:space="preserve">Thailand Bangkok</w:t>
      </w:r>
      <w:r>
        <w:br/>
      </w:r>
      <w:r>
        <w:rPr>
          <w:bCs/>
          <w:b/>
        </w:rPr>
        <w:t xml:space="preserve">Account Name:</w:t>
      </w:r>
      <w:r>
        <w:t xml:space="preserve"> </w:t>
      </w:r>
      <w:r>
        <w:t xml:space="preserve">Meridian Economic Advisory Group Co., Ltd.</w:t>
      </w:r>
      <w:r>
        <w:br/>
      </w:r>
      <w:r>
        <w:rPr>
          <w:bCs/>
          <w:b/>
        </w:rPr>
        <w:t xml:space="preserve">Account No.:</w:t>
      </w:r>
      <w:r>
        <w:t xml:space="preserve"> </w:t>
      </w:r>
      <w:r>
        <w:t xml:space="preserve">012-3-45678-9</w:t>
      </w:r>
      <w:r>
        <w:br/>
      </w:r>
      <w:r>
        <w:rPr>
          <w:bCs/>
          <w:b/>
        </w:rPr>
        <w:t xml:space="preserve">SWIFT Code:</w:t>
      </w:r>
      <w:r>
        <w:t xml:space="preserve"> </w:t>
      </w:r>
      <w:r>
        <w:t xml:space="preserve">SIBLTHB0XXX</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Thailand Bangkok</w:t>
      </w:r>
      <w:r>
        <w:t xml:space="preserve">. This signature constitutes a binding agreement for the services described herein.</w:t>
      </w:r>
    </w:p>
    <w:p>
      <w:pPr>
        <w:pStyle w:val="BodyText"/>
      </w:pPr>
      <w:r>
        <w:rPr>
          <w:bCs/>
          <w:b/>
        </w:rPr>
        <w:t xml:space="preserve">For Meridian Economic Advisory Group Co., Ltd.</w:t>
      </w:r>
    </w:p>
    <w:p>
      <w:pPr>
        <w:pStyle w:val="BodyText"/>
      </w:pPr>
      <w:r>
        <w:t xml:space="preserve">Name: Dr. Ananya Rattanakul</w:t>
      </w:r>
      <w:r>
        <w:br/>
      </w:r>
      <w:r>
        <w:t xml:space="preserve">Title: Chief Economist &amp; Managing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QTE-THB-2025-04782) is issued exclusively for the named client and may not be transferred or used for any other purpose without prior written consent from Meridian Economic Advisory Group Co., Ltd.,</w:t>
      </w:r>
      <w:r>
        <w:t xml:space="preserve"> </w:t>
      </w:r>
      <w:r>
        <w:t xml:space="preserve">Thailand Bangkok</w:t>
      </w:r>
      <w:r>
        <w:t xml:space="preserve">.</w:t>
      </w:r>
    </w:p>
    <w:p>
      <w:pPr>
        <w:pStyle w:val="BodyText"/>
      </w:pPr>
      <w:r>
        <w:t xml:space="preserve">Document generated on 15 June 2025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Thailand Bangkok</dc:title>
  <dc:creator/>
  <dc:language>en</dc:language>
  <cp:keywords/>
  <dcterms:created xsi:type="dcterms:W3CDTF">2026-10-10T10:06:06Z</dcterms:created>
  <dcterms:modified xsi:type="dcterms:W3CDTF">2026-10-10T10:06:06Z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