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Meridian Economic Advisory Group Ltd.</w:t>
      </w:r>
    </w:p>
    <w:p>
      <w:pPr>
        <w:pStyle w:val="BodyText"/>
      </w:pPr>
      <w:r>
        <w:t xml:space="preserve">145 Levent Avenue, Suite 2100, 34330 Istanbul, Turkey</w:t>
      </w:r>
    </w:p>
    <w:p>
      <w:pPr>
        <w:pStyle w:val="BodyText"/>
      </w:pPr>
      <w:r>
        <w:t xml:space="preserve">Tel: +90 212 555 0147 | Email: quotations@meridian-econ.com.tr</w:t>
      </w:r>
    </w:p>
    <w:p>
      <w:pPr>
        <w:pStyle w:val="BodyText"/>
      </w:pPr>
      <w:r>
        <w:t xml:space="preserve">Tax ID (VKN): 1234567890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QE-2025-IST-0487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Client Name</w:t>
            </w:r>
          </w:p>
        </w:tc>
        <w:tc>
          <w:tcPr/>
          <w:p>
            <w:pPr>
              <w:pStyle w:val="Compact"/>
              <w:jc w:val="left"/>
            </w:pPr>
            <w:r>
              <w:t xml:space="preserve">Boğaziçi Industrial Holdings A.Ş.</w:t>
            </w:r>
          </w:p>
        </w:tc>
      </w:tr>
      <w:tr>
        <w:tc>
          <w:tcPr/>
          <w:p>
            <w:pPr>
              <w:pStyle w:val="Compact"/>
              <w:jc w:val="left"/>
            </w:pPr>
            <w:r>
              <w:t xml:space="preserve">Client Address</w:t>
            </w:r>
          </w:p>
        </w:tc>
        <w:tc>
          <w:tcPr/>
          <w:p>
            <w:pPr>
              <w:pStyle w:val="Compact"/>
              <w:jc w:val="left"/>
            </w:pPr>
            <w:r>
              <w:t xml:space="preserve">Kadıköy, Moda Caddesi No. 88, 34710 Istanbul, Turkey</w:t>
            </w:r>
          </w:p>
        </w:tc>
      </w:tr>
      <w:tr>
        <w:tc>
          <w:tcPr/>
          <w:p>
            <w:pPr>
              <w:pStyle w:val="Compact"/>
              <w:jc w:val="left"/>
            </w:pPr>
            <w:r>
              <w:t xml:space="preserve">Prepared By</w:t>
            </w:r>
          </w:p>
        </w:tc>
        <w:tc>
          <w:tcPr/>
          <w:p>
            <w:pPr>
              <w:pStyle w:val="Compact"/>
              <w:jc w:val="left"/>
            </w:pPr>
            <w:r>
              <w:t xml:space="preserve">Dr. Elif Kaya, Senior Economist &amp; Lead Consultant</w:t>
            </w:r>
          </w:p>
        </w:tc>
      </w:tr>
      <w:tr>
        <w:tc>
          <w:tcPr/>
          <w:p>
            <w:pPr>
              <w:pStyle w:val="Compact"/>
              <w:jc w:val="left"/>
            </w:pPr>
            <w:r>
              <w:t xml:space="preserve">Project Location</w:t>
            </w:r>
          </w:p>
        </w:tc>
        <w:tc>
          <w:tcPr/>
          <w:p>
            <w:pPr>
              <w:pStyle w:val="Compact"/>
              <w:jc w:val="left"/>
            </w:pPr>
            <w:r>
              <w:t xml:space="preserve">Turkey Istanbul – All Districts (Primary Office: Levent, Beşiktaş, and Kadıköy)</w:t>
            </w:r>
          </w:p>
        </w:tc>
      </w:tr>
      <w:tr>
        <w:tc>
          <w:tcPr/>
          <w:p>
            <w:pPr>
              <w:pStyle w:val="Compact"/>
              <w:jc w:val="left"/>
            </w:pPr>
            <w:r>
              <w:t xml:space="preserve">Engagement Period</w:t>
            </w:r>
          </w:p>
        </w:tc>
        <w:tc>
          <w:tcPr/>
          <w:p>
            <w:pPr>
              <w:pStyle w:val="Compact"/>
              <w:jc w:val="left"/>
            </w:pPr>
            <w:r>
              <w:t xml:space="preserve">1 September 2025 – 28 February 2026 (6 months)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rPr>
          <w:bCs/>
          <w:b/>
        </w:rPr>
        <w:t xml:space="preserve">Quotation Estimate</w:t>
      </w:r>
      <w:r>
        <w:t xml:space="preserve"> </w:t>
      </w:r>
      <w:r>
        <w:t xml:space="preserve">is issued by Meridian Economic Advisory Group Ltd. to Boğaziçi Industrial Holdings A.Ş. for the professional engagement of a qualified</w:t>
      </w:r>
      <w:r>
        <w:t xml:space="preserve"> </w:t>
      </w:r>
      <w:r>
        <w:rPr>
          <w:bCs/>
          <w:b/>
        </w:rPr>
        <w:t xml:space="preserve">Economist</w:t>
      </w:r>
      <w:r>
        <w:t xml:space="preserve"> </w:t>
      </w:r>
      <w:r>
        <w:t xml:space="preserve">to deliver comprehensive macroeconomic analysis, policy advisory, and strategic forecasting services within the</w:t>
      </w:r>
      <w:r>
        <w:t xml:space="preserve"> </w:t>
      </w:r>
      <w:r>
        <w:rPr>
          <w:bCs/>
          <w:b/>
        </w:rPr>
        <w:t xml:space="preserve">Turkey Istanbul</w:t>
      </w:r>
      <w:r>
        <w:t xml:space="preserve"> </w:t>
      </w:r>
      <w:r>
        <w:t xml:space="preserve">metropolitan region. The</w:t>
      </w:r>
      <w:r>
        <w:t xml:space="preserve"> </w:t>
      </w:r>
      <w:r>
        <w:rPr>
          <w:bCs/>
          <w:b/>
        </w:rPr>
        <w:t xml:space="preserve">Economist</w:t>
      </w:r>
      <w:r>
        <w:t xml:space="preserve"> </w:t>
      </w:r>
      <w:r>
        <w:t xml:space="preserve">assigned to this engagement will operate primarily out of our Istanbul headquarters and will conduct fieldwork, stakeholder meetings, and data collection across key economic zones in</w:t>
      </w:r>
      <w:r>
        <w:t xml:space="preserve"> </w:t>
      </w:r>
      <w:r>
        <w:rPr>
          <w:bCs/>
          <w:b/>
        </w:rPr>
        <w:t xml:space="preserve">Turkey Istanbul</w:t>
      </w:r>
      <w:r>
        <w:t xml:space="preserve">, including the financial district of Levent, the industrial corridors of Tuzla and Gebze, and the commercial hubs of Beşiktaş and Kadıköy.</w:t>
      </w:r>
    </w:p>
    <w:p>
      <w:pPr>
        <w:pStyle w:val="BodyText"/>
      </w:pPr>
      <w:r>
        <w:t xml:space="preserve">The</w:t>
      </w:r>
      <w:r>
        <w:t xml:space="preserve"> </w:t>
      </w:r>
      <w:r>
        <w:rPr>
          <w:bCs/>
          <w:b/>
        </w:rPr>
        <w:t xml:space="preserve">Quotation Estimate</w:t>
      </w:r>
      <w:r>
        <w:t xml:space="preserve"> </w:t>
      </w:r>
      <w:r>
        <w:t xml:space="preserve">below itemises all anticipated costs associated with the</w:t>
      </w:r>
      <w:r>
        <w:t xml:space="preserve"> </w:t>
      </w:r>
      <w:r>
        <w:rPr>
          <w:bCs/>
          <w:b/>
        </w:rPr>
        <w:t xml:space="preserve">Economist</w:t>
      </w:r>
      <w:r>
        <w:t xml:space="preserve">'s professional services, travel within</w:t>
      </w:r>
      <w:r>
        <w:t xml:space="preserve"> </w:t>
      </w:r>
      <w:r>
        <w:rPr>
          <w:bCs/>
          <w:b/>
        </w:rPr>
        <w:t xml:space="preserve">Turkey Istanbul</w:t>
      </w:r>
      <w:r>
        <w:t xml:space="preserve">, research materials, reporting deliverables, and ancillary expenses. All pricing is presented in Turkish Lira (TRY) unless otherwise stated, and this</w:t>
      </w:r>
      <w:r>
        <w:t xml:space="preserve"> </w:t>
      </w:r>
      <w:r>
        <w:rPr>
          <w:bCs/>
          <w:b/>
        </w:rPr>
        <w:t xml:space="preserve">Quotation Estimate</w:t>
      </w:r>
      <w:r>
        <w:t xml:space="preserve"> </w:t>
      </w:r>
      <w:r>
        <w:t xml:space="preserve">reflects current market rates as of the date of issue.</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Subtotal (TRY)</w:t>
            </w:r>
          </w:p>
        </w:tc>
      </w:tr>
      <w:tr>
        <w:tc>
          <w:tcPr/>
          <w:p>
            <w:pPr>
              <w:pStyle w:val="Compact"/>
              <w:jc w:val="left"/>
            </w:pPr>
            <w:r>
              <w:t xml:space="preserve">01</w:t>
            </w:r>
          </w:p>
        </w:tc>
        <w:tc>
          <w:tcPr/>
          <w:p>
            <w:pPr>
              <w:pStyle w:val="Compact"/>
              <w:jc w:val="left"/>
            </w:pPr>
            <w:r>
              <w:t xml:space="preserve">Senior Economist – Monthly Professional Fee (Macroeconomic Analysis, GDP &amp; Inflation Forecasting for Turkey Istanbul Region)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02</w:t>
            </w:r>
          </w:p>
        </w:tc>
        <w:tc>
          <w:tcPr/>
          <w:p>
            <w:pPr>
              <w:pStyle w:val="Compact"/>
              <w:jc w:val="left"/>
            </w:pPr>
            <w:r>
              <w:t xml:space="preserve">Economist – Quarterly Strategic Policy Advisory Sessions (In-person, Istanbul Office)</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03</w:t>
            </w:r>
          </w:p>
        </w:tc>
        <w:tc>
          <w:tcPr/>
          <w:p>
            <w:pPr>
              <w:pStyle w:val="Compact"/>
              <w:jc w:val="left"/>
            </w:pPr>
            <w:r>
              <w:t xml:space="preserve">Economist – Monthly Sectoral Economic Reports (Manufacturing, Trade, FDI – Turkey Istanbul Focus)</w:t>
            </w:r>
          </w:p>
        </w:tc>
        <w:tc>
          <w:tcPr/>
          <w:p>
            <w:pPr>
              <w:pStyle w:val="Compact"/>
              <w:jc w:val="left"/>
            </w:pPr>
            <w:r>
              <w:t xml:space="preserve">Report</w:t>
            </w:r>
          </w:p>
        </w:tc>
        <w:tc>
          <w:tcPr/>
          <w:p>
            <w:pPr>
              <w:pStyle w:val="Compact"/>
              <w:jc w:val="left"/>
            </w:pPr>
            <w:r>
              <w:t xml:space="preserve">6</w:t>
            </w:r>
          </w:p>
        </w:tc>
        <w:tc>
          <w:tcPr/>
          <w:p>
            <w:pPr>
              <w:pStyle w:val="Compact"/>
              <w:jc w:val="left"/>
            </w:pPr>
            <w:r>
              <w:t xml:space="preserve">42,000.00</w:t>
            </w:r>
          </w:p>
        </w:tc>
        <w:tc>
          <w:tcPr/>
          <w:p>
            <w:pPr>
              <w:pStyle w:val="Compact"/>
              <w:jc w:val="left"/>
            </w:pPr>
            <w:r>
              <w:t xml:space="preserve">252,000.00</w:t>
            </w:r>
          </w:p>
        </w:tc>
      </w:tr>
      <w:tr>
        <w:tc>
          <w:tcPr/>
          <w:p>
            <w:pPr>
              <w:pStyle w:val="Compact"/>
              <w:jc w:val="left"/>
            </w:pPr>
            <w:r>
              <w:t xml:space="preserve">04</w:t>
            </w:r>
          </w:p>
        </w:tc>
        <w:tc>
          <w:tcPr/>
          <w:p>
            <w:pPr>
              <w:pStyle w:val="Compact"/>
              <w:jc w:val="left"/>
            </w:pPr>
            <w:r>
              <w:t xml:space="preserve">Local Travel &amp; Transportation within Turkey Istanbul (Levent, Tuzla, Gebze, Kadıköy, Beşiktaş)</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05</w:t>
            </w:r>
          </w:p>
        </w:tc>
        <w:tc>
          <w:tcPr/>
          <w:p>
            <w:pPr>
              <w:pStyle w:val="Compact"/>
              <w:jc w:val="left"/>
            </w:pPr>
            <w:r>
              <w:t xml:space="preserve">Access to Proprietary Economic Databases &amp; Research Subscriptions (TÜİK, TCMB, Eurostat, IMF)</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Economist – Ad-hoc Crisis Consultation (Up to 4 hours per month, Turkey Istanbul Economic Events)</w:t>
            </w:r>
          </w:p>
        </w:tc>
        <w:tc>
          <w:tcPr/>
          <w:p>
            <w:pPr>
              <w:pStyle w:val="Compact"/>
              <w:jc w:val="left"/>
            </w:pPr>
            <w:r>
              <w:t xml:space="preserve">Hour</w:t>
            </w:r>
          </w:p>
        </w:tc>
        <w:tc>
          <w:tcPr/>
          <w:p>
            <w:pPr>
              <w:pStyle w:val="Compact"/>
              <w:jc w:val="left"/>
            </w:pPr>
            <w:r>
              <w:t xml:space="preserve">24</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07</w:t>
            </w:r>
          </w:p>
        </w:tc>
        <w:tc>
          <w:tcPr/>
          <w:p>
            <w:pPr>
              <w:pStyle w:val="Compact"/>
              <w:jc w:val="left"/>
            </w:pPr>
            <w:r>
              <w:t xml:space="preserve">Production &amp; Distribution of Final Comprehensive Economic Outlook Report (Turkey Istanbul, 2026)</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08</w:t>
            </w:r>
          </w:p>
        </w:tc>
        <w:tc>
          <w:tcPr/>
          <w:p>
            <w:pPr>
              <w:pStyle w:val="Compact"/>
              <w:jc w:val="left"/>
            </w:pPr>
            <w:r>
              <w:t xml:space="preserve">Stakeholder Workshop Facilitation by the Economist (2 workshops in Istanbul, 1-day each)</w:t>
            </w:r>
          </w:p>
        </w:tc>
        <w:tc>
          <w:tcPr/>
          <w:p>
            <w:pPr>
              <w:pStyle w:val="Compact"/>
              <w:jc w:val="left"/>
            </w:pPr>
            <w:r>
              <w:t xml:space="preserve">Workshop</w:t>
            </w:r>
          </w:p>
        </w:tc>
        <w:tc>
          <w:tcPr/>
          <w:p>
            <w:pPr>
              <w:pStyle w:val="Compact"/>
              <w:jc w:val="left"/>
            </w:pPr>
            <w:r>
              <w:t xml:space="preserve">2</w:t>
            </w:r>
          </w:p>
        </w:tc>
        <w:tc>
          <w:tcPr/>
          <w:p>
            <w:pPr>
              <w:pStyle w:val="Compact"/>
              <w:jc w:val="left"/>
            </w:pPr>
            <w:r>
              <w:t xml:space="preserve">55,000.00</w:t>
            </w:r>
          </w:p>
        </w:tc>
        <w:tc>
          <w:tcPr/>
          <w:p>
            <w:pPr>
              <w:pStyle w:val="Compact"/>
              <w:jc w:val="left"/>
            </w:pPr>
            <w:r>
              <w:t xml:space="preserve">110,000.00</w:t>
            </w:r>
          </w:p>
        </w:tc>
      </w:tr>
      <w:tr>
        <w:tc>
          <w:tcPr>
            <w:gridSpan w:val="5"/>
          </w:tcPr>
          <w:p>
            <w:pPr>
              <w:pStyle w:val="Compact"/>
              <w:jc w:val="left"/>
            </w:pPr>
            <w:r>
              <w:t xml:space="preserve">Subtotal (Excluding VAT)</w:t>
            </w:r>
          </w:p>
        </w:tc>
        <w:tc>
          <w:tcPr/>
          <w:p>
            <w:pPr>
              <w:pStyle w:val="Compact"/>
              <w:jc w:val="left"/>
            </w:pPr>
            <w:r>
              <w:t xml:space="preserve">2,114,000.00</w:t>
            </w:r>
          </w:p>
        </w:tc>
      </w:tr>
      <w:tr>
        <w:tc>
          <w:tcPr>
            <w:gridSpan w:val="5"/>
          </w:tcPr>
          <w:p>
            <w:pPr>
              <w:pStyle w:val="Compact"/>
              <w:jc w:val="left"/>
            </w:pPr>
            <w:r>
              <w:t xml:space="preserve">VAT (KDV) – 20%</w:t>
            </w:r>
          </w:p>
        </w:tc>
        <w:tc>
          <w:tcPr/>
          <w:p>
            <w:pPr>
              <w:pStyle w:val="Compact"/>
              <w:jc w:val="left"/>
            </w:pPr>
            <w:r>
              <w:t xml:space="preserve">422,800.00</w:t>
            </w:r>
          </w:p>
        </w:tc>
      </w:tr>
      <w:tr>
        <w:tc>
          <w:tcPr>
            <w:gridSpan w:val="5"/>
          </w:tcPr>
          <w:p>
            <w:pPr>
              <w:pStyle w:val="Compact"/>
              <w:jc w:val="left"/>
            </w:pPr>
            <w:r>
              <w:rPr>
                <w:bCs/>
                <w:b/>
              </w:rPr>
              <w:t xml:space="preserve">TOTAL QUOTATION ESTIMATE AMOUNT</w:t>
            </w:r>
          </w:p>
        </w:tc>
        <w:tc>
          <w:tcPr/>
          <w:p>
            <w:pPr>
              <w:pStyle w:val="Compact"/>
              <w:jc w:val="left"/>
            </w:pPr>
            <w:r>
              <w:rPr>
                <w:bCs/>
                <w:b/>
              </w:rPr>
              <w:t xml:space="preserve">2,536,800.00 TRY</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pricing for the</w:t>
      </w:r>
      <w:r>
        <w:t xml:space="preserve"> </w:t>
      </w:r>
      <w:r>
        <w:rPr>
          <w:bCs/>
          <w:b/>
        </w:rPr>
        <w:t xml:space="preserve">Economist</w:t>
      </w:r>
      <w:r>
        <w:t xml:space="preserve">'s services may be revised to reflect changes in the</w:t>
      </w:r>
      <w:r>
        <w:t xml:space="preserve"> </w:t>
      </w:r>
      <w:r>
        <w:rPr>
          <w:bCs/>
          <w:b/>
        </w:rPr>
        <w:t xml:space="preserve">Turkey Istanbul</w:t>
      </w:r>
      <w:r>
        <w:t xml:space="preserve"> </w:t>
      </w:r>
      <w:r>
        <w:t xml:space="preserve">economic environment, including inflation adjustments and currency fluctuations.</w:t>
      </w:r>
    </w:p>
    <w:p>
      <w:pPr>
        <w:numPr>
          <w:ilvl w:val="0"/>
          <w:numId w:val="1001"/>
        </w:numPr>
        <w:pStyle w:val="Compact"/>
      </w:pPr>
      <w:r>
        <w:t xml:space="preserve">The</w:t>
      </w:r>
      <w:r>
        <w:t xml:space="preserve"> </w:t>
      </w:r>
      <w:r>
        <w:rPr>
          <w:bCs/>
          <w:b/>
        </w:rPr>
        <w:t xml:space="preserve">Economist</w:t>
      </w:r>
      <w:r>
        <w:t xml:space="preserve"> </w:t>
      </w:r>
      <w:r>
        <w:t xml:space="preserve">engaged under this</w:t>
      </w:r>
      <w:r>
        <w:t xml:space="preserve"> </w:t>
      </w:r>
      <w:r>
        <w:rPr>
          <w:bCs/>
          <w:b/>
        </w:rPr>
        <w:t xml:space="preserve">Quotation Estimate</w:t>
      </w:r>
      <w:r>
        <w:t xml:space="preserve"> </w:t>
      </w:r>
      <w:r>
        <w:t xml:space="preserve">shall maintain strict confidentiality regarding all proprietary data, trade secrets, and strategic information of the Client. A separate Non-Disclosure Agreement (NDA) shall be executed prior to the commencement of services in</w:t>
      </w:r>
      <w:r>
        <w:t xml:space="preserve"> </w:t>
      </w:r>
      <w:r>
        <w:rPr>
          <w:bCs/>
          <w:b/>
        </w:rPr>
        <w:t xml:space="preserve">Turkey Istanbul</w:t>
      </w:r>
      <w:r>
        <w:t xml:space="preserve">.</w:t>
      </w:r>
    </w:p>
    <w:p>
      <w:pPr>
        <w:numPr>
          <w:ilvl w:val="0"/>
          <w:numId w:val="1001"/>
        </w:numPr>
        <w:pStyle w:val="Compact"/>
      </w:pPr>
      <w:r>
        <w:t xml:space="preserve">Payment shall be made in monthly instalments of 20% of the total</w:t>
      </w:r>
      <w:r>
        <w:t xml:space="preserve"> </w:t>
      </w:r>
      <w:r>
        <w:rPr>
          <w:bCs/>
          <w:b/>
        </w:rPr>
        <w:t xml:space="preserve">Quotation Estimate</w:t>
      </w:r>
      <w:r>
        <w:t xml:space="preserve"> </w:t>
      </w:r>
      <w:r>
        <w:t xml:space="preserve">value, due within fifteen (15) business days of each invoice. The first payment is due upon contract signature; the final payment is due upon delivery of the comprehensive economic outlook report for</w:t>
      </w:r>
      <w:r>
        <w:t xml:space="preserve"> </w:t>
      </w:r>
      <w:r>
        <w:rPr>
          <w:bCs/>
          <w:b/>
        </w:rPr>
        <w:t xml:space="preserve">Turkey Istanbul</w:t>
      </w:r>
      <w:r>
        <w:t xml:space="preserve">.</w:t>
      </w:r>
    </w:p>
    <w:p>
      <w:pPr>
        <w:numPr>
          <w:ilvl w:val="0"/>
          <w:numId w:val="1001"/>
        </w:numPr>
        <w:pStyle w:val="Compact"/>
      </w:pPr>
      <w:r>
        <w:t xml:space="preserve">All services rendered by the</w:t>
      </w:r>
      <w:r>
        <w:t xml:space="preserve"> </w:t>
      </w:r>
      <w:r>
        <w:rPr>
          <w:bCs/>
          <w:b/>
        </w:rPr>
        <w:t xml:space="preserve">Economist</w:t>
      </w:r>
      <w:r>
        <w:t xml:space="preserve"> </w:t>
      </w:r>
      <w:r>
        <w:t xml:space="preserve">shall comply with the regulations of the Republic of Turkey, including the Turkish Commercial Code, data protection laws (KVKK), and any applicable professional standards set by the Turkish Statistical Institute (TÜİK) and the Central Bank of the Republic of Turkey (TCMB).</w:t>
      </w:r>
    </w:p>
    <w:p>
      <w:pPr>
        <w:numPr>
          <w:ilvl w:val="0"/>
          <w:numId w:val="1001"/>
        </w:numPr>
        <w:pStyle w:val="Compact"/>
      </w:pPr>
      <w:r>
        <w:t xml:space="preserve">Should the Client require additional services beyond the scope defined in this</w:t>
      </w:r>
      <w:r>
        <w:t xml:space="preserve"> </w:t>
      </w:r>
      <w:r>
        <w:rPr>
          <w:bCs/>
          <w:b/>
        </w:rPr>
        <w:t xml:space="preserve">Quotation Estimate</w:t>
      </w:r>
      <w:r>
        <w:t xml:space="preserve">, a supplementary</w:t>
      </w:r>
      <w:r>
        <w:t xml:space="preserve"> </w:t>
      </w:r>
      <w:r>
        <w:rPr>
          <w:bCs/>
          <w:b/>
        </w:rPr>
        <w:t xml:space="preserve">Quotation Estimate</w:t>
      </w:r>
      <w:r>
        <w:t xml:space="preserve"> </w:t>
      </w:r>
      <w:r>
        <w:t xml:space="preserve">shall be issued by Meridian Economic Advisory Group Ltd. for the</w:t>
      </w:r>
      <w:r>
        <w:t xml:space="preserve"> </w:t>
      </w:r>
      <w:r>
        <w:rPr>
          <w:bCs/>
          <w:b/>
        </w:rPr>
        <w:t xml:space="preserve">Economist</w:t>
      </w:r>
      <w:r>
        <w:t xml:space="preserve">'s additional work in</w:t>
      </w:r>
      <w:r>
        <w:t xml:space="preserve"> </w:t>
      </w:r>
      <w:r>
        <w:rPr>
          <w:bCs/>
          <w:b/>
        </w:rPr>
        <w:t xml:space="preserve">Turkey Istanbul</w:t>
      </w:r>
      <w:r>
        <w:t xml:space="preserve">.</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binding contract until both parties have signed and returned the acceptance section below. Upon mutual execution, it shall form part of the master service agreement governing the</w:t>
      </w:r>
      <w:r>
        <w:t xml:space="preserve"> </w:t>
      </w:r>
      <w:r>
        <w:rPr>
          <w:bCs/>
          <w:b/>
        </w:rPr>
        <w:t xml:space="preserve">Economist</w:t>
      </w:r>
      <w:r>
        <w:t xml:space="preserve">'s engagement in</w:t>
      </w:r>
      <w:r>
        <w:t xml:space="preserve"> </w:t>
      </w:r>
      <w:r>
        <w:rPr>
          <w:bCs/>
          <w:b/>
        </w:rPr>
        <w:t xml:space="preserve">Turkey Istanbul</w:t>
      </w:r>
      <w:r>
        <w:t xml:space="preserve">.</w:t>
      </w:r>
    </w:p>
    <w:p>
      <w:pPr>
        <w:numPr>
          <w:ilvl w:val="0"/>
          <w:numId w:val="1001"/>
        </w:numPr>
        <w:pStyle w:val="Compact"/>
      </w:pPr>
      <w:r>
        <w:t xml:space="preserve">Force majeure events, including but not limited to natural disasters, government-imposed restrictions, or significant macroeconomic shocks affecting</w:t>
      </w:r>
      <w:r>
        <w:t xml:space="preserve"> </w:t>
      </w:r>
      <w:r>
        <w:rPr>
          <w:bCs/>
          <w:b/>
        </w:rPr>
        <w:t xml:space="preserve">Turkey Istanbul</w:t>
      </w:r>
      <w:r>
        <w:t xml:space="preserve">, may result in the suspension or modification of the</w:t>
      </w:r>
      <w:r>
        <w:t xml:space="preserve"> </w:t>
      </w:r>
      <w:r>
        <w:rPr>
          <w:bCs/>
          <w:b/>
        </w:rPr>
        <w:t xml:space="preserve">Economist</w:t>
      </w:r>
      <w:r>
        <w:t xml:space="preserve">'s deliverable schedule. Both parties shall negotiate in good faith to adjust timelines.</w:t>
      </w:r>
    </w:p>
    <w:bookmarkEnd w:id="23"/>
    <w:bookmarkStart w:id="24" w:name="deliverables-summary"/>
    <w:p>
      <w:pPr>
        <w:pStyle w:val="Heading2"/>
      </w:pPr>
      <w:r>
        <w:t xml:space="preserve">4. Deliverables Summary</w:t>
      </w:r>
    </w:p>
    <w:p>
      <w:pPr>
        <w:pStyle w:val="FirstParagraph"/>
      </w:pPr>
      <w:r>
        <w:t xml:space="preserve">Upon successful completion of the engagement period, the</w:t>
      </w:r>
      <w:r>
        <w:t xml:space="preserve"> </w:t>
      </w:r>
      <w:r>
        <w:rPr>
          <w:bCs/>
          <w:b/>
        </w:rPr>
        <w:t xml:space="preserve">Economist</w:t>
      </w:r>
      <w:r>
        <w:t xml:space="preserve"> </w:t>
      </w:r>
      <w:r>
        <w:t xml:space="preserve">shall deliver the following to the Client in</w:t>
      </w:r>
      <w:r>
        <w:t xml:space="preserve"> </w:t>
      </w:r>
      <w:r>
        <w:rPr>
          <w:bCs/>
          <w:b/>
        </w:rPr>
        <w:t xml:space="preserve">Turkey Istanbul</w:t>
      </w:r>
      <w:r>
        <w:t xml:space="preserve">:</w:t>
      </w:r>
    </w:p>
    <w:p>
      <w:pPr>
        <w:numPr>
          <w:ilvl w:val="0"/>
          <w:numId w:val="1002"/>
        </w:numPr>
        <w:pStyle w:val="Compact"/>
      </w:pPr>
      <w:r>
        <w:t xml:space="preserve">Six (6) monthly sectoral economic analysis reports focused on the</w:t>
      </w:r>
      <w:r>
        <w:t xml:space="preserve"> </w:t>
      </w:r>
      <w:r>
        <w:rPr>
          <w:bCs/>
          <w:b/>
        </w:rPr>
        <w:t xml:space="preserve">Turkey Istanbul</w:t>
      </w:r>
      <w:r>
        <w:t xml:space="preserve"> </w:t>
      </w:r>
      <w:r>
        <w:t xml:space="preserve">metropolitan economy.</w:t>
      </w:r>
    </w:p>
    <w:p>
      <w:pPr>
        <w:numPr>
          <w:ilvl w:val="0"/>
          <w:numId w:val="1002"/>
        </w:numPr>
        <w:pStyle w:val="Compact"/>
      </w:pPr>
      <w:r>
        <w:t xml:space="preserve">Two (2) quarterly strategic policy advisory presentations delivered in person at the Client's Istanbul office.</w:t>
      </w:r>
    </w:p>
    <w:p>
      <w:pPr>
        <w:numPr>
          <w:ilvl w:val="0"/>
          <w:numId w:val="1002"/>
        </w:numPr>
        <w:pStyle w:val="Compact"/>
      </w:pPr>
      <w:r>
        <w:t xml:space="preserve">One (1) comprehensive 2026 Economic Outlook Report for</w:t>
      </w:r>
      <w:r>
        <w:t xml:space="preserve"> </w:t>
      </w:r>
      <w:r>
        <w:rPr>
          <w:bCs/>
          <w:b/>
        </w:rPr>
        <w:t xml:space="preserve">Turkey Istanbul</w:t>
      </w:r>
      <w:r>
        <w:t xml:space="preserve">, covering GDP projections, inflation trajectories, labour market dynamics, foreign direct investment trends, and trade balance forecasts.</w:t>
      </w:r>
    </w:p>
    <w:p>
      <w:pPr>
        <w:numPr>
          <w:ilvl w:val="0"/>
          <w:numId w:val="1002"/>
        </w:numPr>
        <w:pStyle w:val="Compact"/>
      </w:pPr>
      <w:r>
        <w:t xml:space="preserve">Two (2) facilitated stakeholder workshops with industry leaders, policymakers, and academic partners in</w:t>
      </w:r>
      <w:r>
        <w:t xml:space="preserve"> </w:t>
      </w:r>
      <w:r>
        <w:rPr>
          <w:bCs/>
          <w:b/>
        </w:rPr>
        <w:t xml:space="preserve">Turkey Istanbul</w:t>
      </w:r>
      <w:r>
        <w:t xml:space="preserve">.</w:t>
      </w:r>
    </w:p>
    <w:p>
      <w:pPr>
        <w:numPr>
          <w:ilvl w:val="0"/>
          <w:numId w:val="1002"/>
        </w:numPr>
        <w:pStyle w:val="Compact"/>
      </w:pPr>
      <w:r>
        <w:t xml:space="preserve">Unlimited ad-hoc consultation (within the 24-hour cap) on emerging economic issues affecting the</w:t>
      </w:r>
      <w:r>
        <w:t xml:space="preserve"> </w:t>
      </w:r>
      <w:r>
        <w:rPr>
          <w:bCs/>
          <w:b/>
        </w:rPr>
        <w:t xml:space="preserve">Turkey Istanbul</w:t>
      </w:r>
      <w:r>
        <w:t xml:space="preserve"> </w:t>
      </w:r>
      <w:r>
        <w:t xml:space="preserve">business environment.</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accept the terms, conditions, and pricing outlined in this</w:t>
      </w:r>
      <w:r>
        <w:t xml:space="preserve"> </w:t>
      </w:r>
      <w:r>
        <w:rPr>
          <w:bCs/>
          <w:b/>
        </w:rPr>
        <w:t xml:space="preserve">Quotation Estimate</w:t>
      </w:r>
      <w:r>
        <w:t xml:space="preserve"> </w:t>
      </w:r>
      <w:r>
        <w:t xml:space="preserve">for the engagement of the</w:t>
      </w:r>
      <w:r>
        <w:t xml:space="preserve"> </w:t>
      </w:r>
      <w:r>
        <w:rPr>
          <w:bCs/>
          <w:b/>
        </w:rPr>
        <w:t xml:space="preserve">Economist</w:t>
      </w:r>
      <w:r>
        <w:t xml:space="preserve"> </w:t>
      </w:r>
      <w:r>
        <w:t xml:space="preserve">in</w:t>
      </w:r>
      <w:r>
        <w:t xml:space="preserve"> </w:t>
      </w:r>
      <w:r>
        <w:rPr>
          <w:bCs/>
          <w:b/>
        </w:rPr>
        <w:t xml:space="preserve">Turkey Istanbul</w:t>
      </w:r>
      <w:r>
        <w:t xml:space="preserve">.</w:t>
      </w:r>
    </w:p>
    <w:p>
      <w:pPr>
        <w:pStyle w:val="BodyText"/>
      </w:pPr>
      <w:r>
        <w:rPr>
          <w:bCs/>
          <w:b/>
        </w:rPr>
        <w:t xml:space="preserve">For Meridian Economic Advisory Group Ltd. (Provider)</w:t>
      </w:r>
    </w:p>
    <w:p>
      <w:pPr>
        <w:pStyle w:val="BodyText"/>
      </w:pPr>
      <w:r>
        <w:t xml:space="preserve">Name: Dr. Elif Kaya</w:t>
      </w:r>
      <w:r>
        <w:br/>
      </w:r>
      <w:r>
        <w:t xml:space="preserve">Title: Senior Economist &amp; Lead Consultant</w:t>
      </w:r>
      <w:r>
        <w:br/>
      </w:r>
      <w:r>
        <w:t xml:space="preserve">Signature &amp; Date: ___________________________</w:t>
      </w:r>
    </w:p>
    <w:p>
      <w:pPr>
        <w:pStyle w:val="BodyText"/>
      </w:pPr>
      <w:r>
        <w:rPr>
          <w:bCs/>
          <w:b/>
        </w:rPr>
        <w:t xml:space="preserve">For Boğaziçi Industrial Holdings A.Ş. (Client)</w:t>
      </w:r>
    </w:p>
    <w:p>
      <w:pPr>
        <w:pStyle w:val="BodyText"/>
      </w:pPr>
      <w:r>
        <w:t xml:space="preserve">Name: ___________________________</w:t>
      </w:r>
      <w:r>
        <w:br/>
      </w:r>
      <w:r>
        <w:t xml:space="preserve">Title: ___________________________</w:t>
      </w:r>
      <w:r>
        <w:br/>
      </w:r>
      <w:r>
        <w:t xml:space="preserve">Signature &amp; Date: ___________________________</w:t>
      </w:r>
    </w:p>
    <w:p>
      <w:pPr>
        <w:pStyle w:val="BodyText"/>
      </w:pPr>
      <w:r>
        <w:rPr>
          <w:bCs/>
          <w:b/>
        </w:rPr>
        <w:t xml:space="preserve">Quotation Estimate No. QE-2025-IST-0487</w:t>
      </w:r>
      <w:r>
        <w:t xml:space="preserve"> </w:t>
      </w:r>
      <w:r>
        <w:t xml:space="preserve">| Meridian Economic Advisory Group Ltd. | 145 Levent Avenue, Suite 2100, 34330 Istanbul, Turkey</w:t>
      </w:r>
    </w:p>
    <w:p>
      <w:pPr>
        <w:pStyle w:val="BodyText"/>
      </w:pPr>
      <w:r>
        <w:t xml:space="preserve">This document is a</w:t>
      </w:r>
      <w:r>
        <w:t xml:space="preserve"> </w:t>
      </w:r>
      <w:r>
        <w:rPr>
          <w:bCs/>
          <w:b/>
        </w:rPr>
        <w:t xml:space="preserve">Quotation Estimate</w:t>
      </w:r>
      <w:r>
        <w:t xml:space="preserve"> </w:t>
      </w:r>
      <w:r>
        <w:t xml:space="preserve">for the professional services of an</w:t>
      </w:r>
      <w:r>
        <w:t xml:space="preserve"> </w:t>
      </w:r>
      <w:r>
        <w:rPr>
          <w:bCs/>
          <w:b/>
        </w:rPr>
        <w:t xml:space="preserve">Economist</w:t>
      </w:r>
      <w:r>
        <w:t xml:space="preserve"> </w:t>
      </w:r>
      <w:r>
        <w:t xml:space="preserve">in</w:t>
      </w:r>
      <w:r>
        <w:t xml:space="preserve"> </w:t>
      </w:r>
      <w:r>
        <w:rPr>
          <w:bCs/>
          <w:b/>
        </w:rPr>
        <w:t xml:space="preserve">Turkey Istanbul</w:t>
      </w:r>
      <w:r>
        <w:t xml:space="preserve"> </w:t>
      </w:r>
      <w:r>
        <w:t xml:space="preserve">and is not a tax invoice (fatura). A formal tax invoice will be issued upon each payment milestone. All amounts are in Turkish Lira (TRY). This</w:t>
      </w:r>
      <w:r>
        <w:t xml:space="preserve"> </w:t>
      </w:r>
      <w:r>
        <w:rPr>
          <w:bCs/>
          <w:b/>
        </w:rPr>
        <w:t xml:space="preserve">Quotation Estimate</w:t>
      </w:r>
      <w:r>
        <w:t xml:space="preserve"> </w:t>
      </w:r>
      <w:r>
        <w:t xml:space="preserve">is the property of Meridian Economic Advisory Group Ltd.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Turkey Istanbul</dc:title>
  <dc:creator/>
  <dc:language>en</dc:language>
  <cp:keywords/>
  <dcterms:created xsi:type="dcterms:W3CDTF">2026-10-10T07:33:32Z</dcterms:created>
  <dcterms:modified xsi:type="dcterms:W3CDTF">2026-10-10T07:33:32Z</dcterms:modified>
</cp:coreProperties>
</file>

<file path=docProps/custom.xml><?xml version="1.0" encoding="utf-8"?>
<Properties xmlns="http://schemas.openxmlformats.org/officeDocument/2006/custom-properties" xmlns:vt="http://schemas.openxmlformats.org/officeDocument/2006/docPropsVTypes"/>
</file>