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Economist Engagement Services</w:t>
      </w:r>
    </w:p>
    <w:p>
      <w:pPr>
        <w:pStyle w:val="BodyText"/>
      </w:pPr>
      <w:r>
        <w:t xml:space="preserve">United Arab Emirates — Abu Dhabi</w:t>
      </w:r>
    </w:p>
    <w:bookmarkEnd w:id="20"/>
    <w:p>
      <w:pPr>
        <w:pStyle w:val="BodyText"/>
      </w:pPr>
      <w:r>
        <w:t xml:space="preserve">Quotation Reference No.:</w:t>
      </w:r>
      <w:r>
        <w:t xml:space="preserve"> </w:t>
      </w:r>
      <w:r>
        <w:t xml:space="preserve">QE-AD-2025-04871</w:t>
      </w:r>
    </w:p>
    <w:p>
      <w:pPr>
        <w:pStyle w:val="BodyText"/>
      </w:pPr>
      <w:r>
        <w:t xml:space="preserve">Date of Issue:</w:t>
      </w:r>
      <w:r>
        <w:t xml:space="preserve"> </w:t>
      </w:r>
      <w:r>
        <w:t xml:space="preserve">15 June 2025</w:t>
      </w:r>
    </w:p>
    <w:p>
      <w:pPr>
        <w:pStyle w:val="BodyText"/>
      </w:pPr>
      <w:r>
        <w:t xml:space="preserve">Validity Period:</w:t>
      </w:r>
      <w:r>
        <w:t xml:space="preserve"> </w:t>
      </w:r>
      <w:r>
        <w:t xml:space="preserve">30 Calendar Days</w:t>
      </w:r>
    </w:p>
    <w:p>
      <w:pPr>
        <w:pStyle w:val="BodyText"/>
      </w:pPr>
      <w:r>
        <w:t xml:space="preserve">Prepared By:</w:t>
      </w:r>
      <w:r>
        <w:t xml:space="preserve"> </w:t>
      </w:r>
      <w:r>
        <w:t xml:space="preserve">Meridian Economic Advisory LLC</w:t>
      </w:r>
      <w:r>
        <w:br/>
      </w:r>
      <w:r>
        <w:t xml:space="preserve">Office 1204, Al Maryah Island Tower</w:t>
      </w:r>
      <w:r>
        <w:br/>
      </w:r>
      <w:r>
        <w:t xml:space="preserve">Abu Dhabi, United Arab Emirates</w:t>
      </w:r>
    </w:p>
    <w:p>
      <w:pPr>
        <w:pStyle w:val="BodyText"/>
      </w:pPr>
      <w:r>
        <w:t xml:space="preserve">Prepared For:</w:t>
      </w:r>
      <w:r>
        <w:t xml:space="preserve"> </w:t>
      </w:r>
      <w:r>
        <w:t xml:space="preserve">[Client Name / Organization]</w:t>
      </w:r>
      <w:r>
        <w:br/>
      </w:r>
      <w:r>
        <w:t xml:space="preserve">[Client Address]</w:t>
      </w:r>
      <w:r>
        <w:br/>
      </w:r>
      <w:r>
        <w:t xml:space="preserve">Abu Dhabi, United Arab Emirates</w:t>
      </w:r>
    </w:p>
    <w:bookmarkStart w:id="21" w:name="executive-summary"/>
    <w:p>
      <w:pPr>
        <w:pStyle w:val="Heading2"/>
      </w:pPr>
      <w:r>
        <w:t xml:space="preserve">1. Executive Summary</w:t>
      </w:r>
    </w:p>
    <w:p>
      <w:pPr>
        <w:pStyle w:val="FirstParagraph"/>
      </w:pPr>
      <w:r>
        <w:t xml:space="preserve">This Quotation Estimate is issued by Meridian Economic Advisory LLC, a registered professional services firm operating in Abu Dhabi, United Arab Emirates, to provide comprehensive Economist engagement services. This document outlines the scope of work, fee structure, and terms governing the retention of a qualified Economist to deliver macroeconomic analysis, policy advisory, and strategic economic forecasting tailored to the client's operational needs within the Abu Dhabi and wider United Arab Emirates market.</w:t>
      </w:r>
    </w:p>
    <w:p>
      <w:pPr>
        <w:pStyle w:val="BodyText"/>
      </w:pPr>
      <w:r>
        <w:t xml:space="preserve">The Economist services described herein are designed to support decision-making at the executive and board level, ensuring that all strategic initiatives are grounded in rigorous economic analysis aligned with the Abu Dhabi Economic Vision 2031 and the broader UAE national development frameworks.</w:t>
      </w:r>
    </w:p>
    <w:bookmarkEnd w:id="21"/>
    <w:bookmarkStart w:id="22" w:name="scope-of-services"/>
    <w:p>
      <w:pPr>
        <w:pStyle w:val="Heading2"/>
      </w:pPr>
      <w:r>
        <w:t xml:space="preserve">2. Scope of Services</w:t>
      </w:r>
    </w:p>
    <w:p>
      <w:pPr>
        <w:pStyle w:val="FirstParagraph"/>
      </w:pPr>
      <w:r>
        <w:t xml:space="preserve">The retained Economist will deliver the following services throughout the engagement period in Abu Dhabi, United Arab Emirates:</w:t>
      </w:r>
    </w:p>
    <w:p>
      <w:pPr>
        <w:numPr>
          <w:ilvl w:val="0"/>
          <w:numId w:val="1001"/>
        </w:numPr>
        <w:pStyle w:val="Compact"/>
      </w:pPr>
      <w:r>
        <w:rPr>
          <w:bCs/>
          <w:b/>
        </w:rPr>
        <w:t xml:space="preserve">Macroeconomic Analysis &amp; Forecasting:</w:t>
      </w:r>
      <w:r>
        <w:t xml:space="preserve"> </w:t>
      </w:r>
      <w:r>
        <w:t xml:space="preserve">Quarterly and annual economic outlook reports covering GDP growth, inflation indices, trade balances, and fiscal policy implications specific to Abu Dhabi and the United Arab Emirates.</w:t>
      </w:r>
    </w:p>
    <w:p>
      <w:pPr>
        <w:numPr>
          <w:ilvl w:val="0"/>
          <w:numId w:val="1001"/>
        </w:numPr>
        <w:pStyle w:val="Compact"/>
      </w:pPr>
      <w:r>
        <w:rPr>
          <w:bCs/>
          <w:b/>
        </w:rPr>
        <w:t xml:space="preserve">Policy Advisory &amp; Regulatory Compliance:</w:t>
      </w:r>
      <w:r>
        <w:t xml:space="preserve"> </w:t>
      </w:r>
      <w:r>
        <w:t xml:space="preserve">Assessment of new government regulations, free zone policies, and trade agreements affecting the client's operations within the UAE jurisdiction.</w:t>
      </w:r>
    </w:p>
    <w:p>
      <w:pPr>
        <w:numPr>
          <w:ilvl w:val="0"/>
          <w:numId w:val="1001"/>
        </w:numPr>
        <w:pStyle w:val="Compact"/>
      </w:pPr>
      <w:r>
        <w:rPr>
          <w:bCs/>
          <w:b/>
        </w:rPr>
        <w:t xml:space="preserve">Market &amp; Sector Research:</w:t>
      </w:r>
      <w:r>
        <w:t xml:space="preserve"> </w:t>
      </w:r>
      <w:r>
        <w:t xml:space="preserve">In-depth analysis of target industries including energy, real estate, tourism, and financial services as they pertain to the Abu Dhabi market landscape.</w:t>
      </w:r>
    </w:p>
    <w:p>
      <w:pPr>
        <w:numPr>
          <w:ilvl w:val="0"/>
          <w:numId w:val="1001"/>
        </w:numPr>
        <w:pStyle w:val="Compact"/>
      </w:pPr>
      <w:r>
        <w:rPr>
          <w:bCs/>
          <w:b/>
        </w:rPr>
        <w:t xml:space="preserve">Strategic Economic Modelling:</w:t>
      </w:r>
      <w:r>
        <w:t xml:space="preserve"> </w:t>
      </w:r>
      <w:r>
        <w:t xml:space="preserve">Development of quantitative models for scenario planning, risk assessment, and investment viability studies.</w:t>
      </w:r>
    </w:p>
    <w:p>
      <w:pPr>
        <w:numPr>
          <w:ilvl w:val="0"/>
          <w:numId w:val="1001"/>
        </w:numPr>
        <w:pStyle w:val="Compact"/>
      </w:pPr>
      <w:r>
        <w:rPr>
          <w:bCs/>
          <w:b/>
        </w:rPr>
        <w:t xml:space="preserve">Stakeholder Presentations &amp; Briefings:</w:t>
      </w:r>
      <w:r>
        <w:t xml:space="preserve"> </w:t>
      </w:r>
      <w:r>
        <w:t xml:space="preserve">Preparation and delivery of executive-level presentations to boards, government liaison officers, and institutional investors based in Abu Dhabi.</w:t>
      </w:r>
    </w:p>
    <w:p>
      <w:pPr>
        <w:numPr>
          <w:ilvl w:val="0"/>
          <w:numId w:val="1001"/>
        </w:numPr>
        <w:pStyle w:val="Compact"/>
      </w:pPr>
      <w:r>
        <w:rPr>
          <w:bCs/>
          <w:b/>
        </w:rPr>
        <w:t xml:space="preserve">Ad-hoc Consultation:</w:t>
      </w:r>
      <w:r>
        <w:t xml:space="preserve"> </w:t>
      </w:r>
      <w:r>
        <w:t xml:space="preserve">Availability for up to 40 hours per month of direct consultation with the client's leadership team on economic matters.</w:t>
      </w:r>
    </w:p>
    <w:bookmarkEnd w:id="22"/>
    <w:bookmarkStart w:id="23" w:name="quotation-estimate-fee-schedule"/>
    <w:p>
      <w:pPr>
        <w:pStyle w:val="Heading2"/>
      </w:pPr>
      <w:r>
        <w:t xml:space="preserve">3. Quotation Estimate —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(AED)</w:t>
            </w:r>
          </w:p>
        </w:tc>
        <w:tc>
          <w:tcPr/>
          <w:p>
            <w:pPr>
              <w:pStyle w:val="Compact"/>
              <w:jc w:val="left"/>
            </w:pPr>
            <w:r>
              <w:t xml:space="preserve">Estimated Total (AED)</w:t>
            </w:r>
          </w:p>
        </w:tc>
      </w:tr>
      <w:tr>
        <w:tc>
          <w:tcPr/>
          <w:p>
            <w:pPr>
              <w:pStyle w:val="Compact"/>
              <w:jc w:val="left"/>
            </w:pPr>
            <w:r>
              <w:t xml:space="preserve">01</w:t>
            </w:r>
          </w:p>
        </w:tc>
        <w:tc>
          <w:tcPr/>
          <w:p>
            <w:pPr>
              <w:pStyle w:val="Compact"/>
              <w:jc w:val="left"/>
            </w:pPr>
            <w:r>
              <w:t xml:space="preserve">Senior Economist Retainer (Full Engagement)</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Macroeconomic Forecast Reports (Quarterly)</w:t>
            </w:r>
          </w:p>
        </w:tc>
        <w:tc>
          <w:tcPr/>
          <w:p>
            <w:pPr>
              <w:pStyle w:val="Compact"/>
              <w:jc w:val="left"/>
            </w:pPr>
            <w:r>
              <w:t xml:space="preserve">4 Reports / Year</w:t>
            </w:r>
          </w:p>
        </w:tc>
        <w:tc>
          <w:tcPr/>
          <w:p>
            <w:pPr>
              <w:pStyle w:val="Compact"/>
              <w:jc w:val="left"/>
            </w:pPr>
            <w:r>
              <w:t xml:space="preserve">18,500 / report</w:t>
            </w:r>
          </w:p>
        </w:tc>
        <w:tc>
          <w:tcPr/>
          <w:p>
            <w:pPr>
              <w:pStyle w:val="Compact"/>
              <w:jc w:val="left"/>
            </w:pPr>
            <w:r>
              <w:t xml:space="preserve">74,000</w:t>
            </w:r>
          </w:p>
        </w:tc>
      </w:tr>
      <w:tr>
        <w:tc>
          <w:tcPr/>
          <w:p>
            <w:pPr>
              <w:pStyle w:val="Compact"/>
              <w:jc w:val="left"/>
            </w:pPr>
            <w:r>
              <w:t xml:space="preserve">03</w:t>
            </w:r>
          </w:p>
        </w:tc>
        <w:tc>
          <w:tcPr/>
          <w:p>
            <w:pPr>
              <w:pStyle w:val="Compact"/>
              <w:jc w:val="left"/>
            </w:pPr>
            <w:r>
              <w:t xml:space="preserve">Policy Advisory &amp; Regulatory Review</w:t>
            </w:r>
          </w:p>
        </w:tc>
        <w:tc>
          <w:tcPr/>
          <w:p>
            <w:pPr>
              <w:pStyle w:val="Compact"/>
              <w:jc w:val="left"/>
            </w:pPr>
            <w:r>
              <w:t xml:space="preserve">Ongoing / Monthly</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Strategic Economic Modelling &amp; Scenario Analysis</w:t>
            </w:r>
          </w:p>
        </w:tc>
        <w:tc>
          <w:tcPr/>
          <w:p>
            <w:pPr>
              <w:pStyle w:val="Compact"/>
              <w:jc w:val="left"/>
            </w:pPr>
            <w:r>
              <w:t xml:space="preserve">2 Engagements / Year</w:t>
            </w:r>
          </w:p>
        </w:tc>
        <w:tc>
          <w:tcPr/>
          <w:p>
            <w:pPr>
              <w:pStyle w:val="Compact"/>
              <w:jc w:val="left"/>
            </w:pPr>
            <w:r>
              <w:t xml:space="preserve">35,000 / engagement</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Executive Presentations &amp; Board Briefings</w:t>
            </w:r>
          </w:p>
        </w:tc>
        <w:tc>
          <w:tcPr/>
          <w:p>
            <w:pPr>
              <w:pStyle w:val="Compact"/>
              <w:jc w:val="left"/>
            </w:pPr>
            <w:r>
              <w:t xml:space="preserve">6 Sessions / Year</w:t>
            </w:r>
          </w:p>
        </w:tc>
        <w:tc>
          <w:tcPr/>
          <w:p>
            <w:pPr>
              <w:pStyle w:val="Compact"/>
              <w:jc w:val="left"/>
            </w:pPr>
            <w:r>
              <w:t xml:space="preserve">8,500 / session</w:t>
            </w:r>
          </w:p>
        </w:tc>
        <w:tc>
          <w:tcPr/>
          <w:p>
            <w:pPr>
              <w:pStyle w:val="Compact"/>
              <w:jc w:val="left"/>
            </w:pPr>
            <w:r>
              <w:t xml:space="preserve">51,000</w:t>
            </w:r>
          </w:p>
        </w:tc>
      </w:tr>
      <w:tr>
        <w:tc>
          <w:tcPr/>
          <w:p>
            <w:pPr>
              <w:pStyle w:val="Compact"/>
              <w:jc w:val="left"/>
            </w:pPr>
            <w:r>
              <w:t xml:space="preserve">06</w:t>
            </w:r>
          </w:p>
        </w:tc>
        <w:tc>
          <w:tcPr/>
          <w:p>
            <w:pPr>
              <w:pStyle w:val="Compact"/>
              <w:jc w:val="left"/>
            </w:pPr>
            <w:r>
              <w:t xml:space="preserve">Ad-hoc Consultation (up to 40 hrs/month)</w:t>
            </w:r>
          </w:p>
        </w:tc>
        <w:tc>
          <w:tcPr/>
          <w:p>
            <w:pPr>
              <w:pStyle w:val="Compact"/>
              <w:jc w:val="left"/>
            </w:pPr>
            <w:r>
              <w:t xml:space="preserve">12 Months</w:t>
            </w:r>
          </w:p>
        </w:tc>
        <w:tc>
          <w:tcPr/>
          <w:p>
            <w:pPr>
              <w:pStyle w:val="Compact"/>
              <w:jc w:val="left"/>
            </w:pPr>
            <w:r>
              <w:t xml:space="preserve">1,200 / hour</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Travel &amp; Local Transportation within Abu Dhabi</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24,000</w:t>
            </w:r>
          </w:p>
        </w:tc>
      </w:tr>
      <w:tr>
        <w:tc>
          <w:tcPr/>
          <w:p>
            <w:pPr>
              <w:pStyle w:val="Compact"/>
              <w:jc w:val="left"/>
            </w:pPr>
            <w:r>
              <w:t xml:space="preserve">08</w:t>
            </w:r>
          </w:p>
        </w:tc>
        <w:tc>
          <w:tcPr/>
          <w:p>
            <w:pPr>
              <w:pStyle w:val="Compact"/>
              <w:jc w:val="left"/>
            </w:pPr>
            <w:r>
              <w:t xml:space="preserve">Research Data Licensing &amp; Database Access</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36,000</w:t>
            </w:r>
          </w:p>
        </w:tc>
      </w:tr>
      <w:tr>
        <w:tc>
          <w:tcPr>
            <w:gridSpan w:val="4"/>
          </w:tcPr>
          <w:p>
            <w:pPr>
              <w:pStyle w:val="Compact"/>
              <w:jc w:val="left"/>
            </w:pPr>
            <w:r>
              <w:t xml:space="preserve">Subtotal (AED)</w:t>
            </w:r>
          </w:p>
        </w:tc>
        <w:tc>
          <w:tcPr/>
          <w:p>
            <w:pPr>
              <w:pStyle w:val="Compact"/>
              <w:jc w:val="left"/>
            </w:pPr>
            <w:r>
              <w:t xml:space="preserve">1,515,000</w:t>
            </w:r>
          </w:p>
        </w:tc>
      </w:tr>
      <w:tr>
        <w:tc>
          <w:tcPr>
            <w:gridSpan w:val="4"/>
          </w:tcPr>
          <w:p>
            <w:pPr>
              <w:pStyle w:val="Compact"/>
              <w:jc w:val="left"/>
            </w:pPr>
            <w:r>
              <w:t xml:space="preserve">VAT @ 5% (United Arab Emirates)</w:t>
            </w:r>
          </w:p>
        </w:tc>
        <w:tc>
          <w:tcPr/>
          <w:p>
            <w:pPr>
              <w:pStyle w:val="Compact"/>
              <w:jc w:val="left"/>
            </w:pPr>
            <w:r>
              <w:t xml:space="preserve">75,750</w:t>
            </w:r>
          </w:p>
        </w:tc>
      </w:tr>
      <w:tr>
        <w:tc>
          <w:tcPr>
            <w:gridSpan w:val="4"/>
          </w:tcPr>
          <w:p>
            <w:pPr>
              <w:pStyle w:val="Compact"/>
              <w:jc w:val="left"/>
            </w:pPr>
            <w:r>
              <w:rPr>
                <w:bCs/>
                <w:b/>
              </w:rPr>
              <w:t xml:space="preserve">Grand Total (AED)</w:t>
            </w:r>
          </w:p>
        </w:tc>
        <w:tc>
          <w:tcPr/>
          <w:p>
            <w:pPr>
              <w:pStyle w:val="Compact"/>
              <w:jc w:val="left"/>
            </w:pPr>
            <w:r>
              <w:rPr>
                <w:bCs/>
                <w:b/>
              </w:rPr>
              <w:t xml:space="preserve">1,590,750</w:t>
            </w:r>
          </w:p>
        </w:tc>
      </w:tr>
    </w:tbl>
    <w:bookmarkEnd w:id="23"/>
    <w:bookmarkStart w:id="24" w:name="terms-conditions"/>
    <w:p>
      <w:pPr>
        <w:pStyle w:val="Heading2"/>
      </w:pPr>
      <w:r>
        <w:t xml:space="preserve">4. Terms &amp; Conditions</w:t>
      </w:r>
    </w:p>
    <w:p>
      <w:pPr>
        <w:pStyle w:val="FirstParagraph"/>
      </w:pPr>
      <w:r>
        <w:t xml:space="preserve">The following terms govern this Quotation Estimate for Economist services in Abu Dhabi, United Arab Emirates:</w:t>
      </w:r>
    </w:p>
    <w:p>
      <w:pPr>
        <w:numPr>
          <w:ilvl w:val="0"/>
          <w:numId w:val="1002"/>
        </w:numPr>
        <w:pStyle w:val="Compact"/>
      </w:pPr>
      <w:r>
        <w:rPr>
          <w:bCs/>
          <w:b/>
        </w:rPr>
        <w:t xml:space="preserve">Payment Terms:</w:t>
      </w:r>
      <w:r>
        <w:t xml:space="preserve"> </w:t>
      </w:r>
      <w:r>
        <w:t xml:space="preserve">30% advance upon contract execution; remaining balance payable in quarterly instalments within 15 days of invoice date. All payments shall be made in United Arab Emirates Dirhams (AED) via bank transfer to the designated account of Meridian Economic Advisory LLC.</w:t>
      </w:r>
    </w:p>
    <w:p>
      <w:pPr>
        <w:numPr>
          <w:ilvl w:val="0"/>
          <w:numId w:val="1002"/>
        </w:numPr>
        <w:pStyle w:val="Compact"/>
      </w:pPr>
      <w:r>
        <w:rPr>
          <w:bCs/>
          <w:b/>
        </w:rPr>
        <w:t xml:space="preserve">Engagement Period:</w:t>
      </w:r>
      <w:r>
        <w:t xml:space="preserve"> </w:t>
      </w:r>
      <w:r>
        <w:t xml:space="preserve">The initial term of this Economist engagement is twelve (12) months from the date of contract signature, renewable by mutual written agreement.</w:t>
      </w:r>
    </w:p>
    <w:p>
      <w:pPr>
        <w:numPr>
          <w:ilvl w:val="0"/>
          <w:numId w:val="1002"/>
        </w:numPr>
        <w:pStyle w:val="Compact"/>
      </w:pPr>
      <w:r>
        <w:rPr>
          <w:bCs/>
          <w:b/>
        </w:rPr>
        <w:t xml:space="preserve">Confidentiality:</w:t>
      </w:r>
      <w:r>
        <w:t xml:space="preserve"> </w:t>
      </w:r>
      <w:r>
        <w:t xml:space="preserve">All economic data, forecasts, and strategic analyses produced by the Economist shall be treated as strictly confidential and subject to a Non-Disclosure Agreement (NDA) compliant with UAE Federal Decree-Law No. 31 of 2021 on the Protection of Personal Data.</w:t>
      </w:r>
    </w:p>
    <w:p>
      <w:pPr>
        <w:numPr>
          <w:ilvl w:val="0"/>
          <w:numId w:val="1002"/>
        </w:numPr>
        <w:pStyle w:val="Compact"/>
      </w:pPr>
      <w:r>
        <w:rPr>
          <w:bCs/>
          <w:b/>
        </w:rPr>
        <w:t xml:space="preserve">Intellectual Property:</w:t>
      </w:r>
      <w:r>
        <w:t xml:space="preserve"> </w:t>
      </w:r>
      <w:r>
        <w:t xml:space="preserve">All reports, models, and deliverables produced under this Quotation Estimate shall become the exclusive property of the client upon full payment.</w:t>
      </w:r>
    </w:p>
    <w:p>
      <w:pPr>
        <w:numPr>
          <w:ilvl w:val="0"/>
          <w:numId w:val="1002"/>
        </w:numPr>
        <w:pStyle w:val="Compact"/>
      </w:pPr>
      <w:r>
        <w:rPr>
          <w:bCs/>
          <w:b/>
        </w:rPr>
        <w:t xml:space="preserve">Termination:</w:t>
      </w:r>
      <w:r>
        <w:t xml:space="preserve"> </w:t>
      </w:r>
      <w:r>
        <w:t xml:space="preserve">Either party may terminate the engagement with sixty (60) days written notice. In the event of early termination, all services rendered up to the termination date shall be invoiced in full.</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United Arab Emirates, with jurisdiction vested in the courts of Abu Dhabi.</w:t>
      </w:r>
    </w:p>
    <w:bookmarkEnd w:id="24"/>
    <w:bookmarkStart w:id="25" w:name="qualifications-of-the-economist"/>
    <w:p>
      <w:pPr>
        <w:pStyle w:val="Heading2"/>
      </w:pPr>
      <w:r>
        <w:t xml:space="preserve">5. Qualifications of the Economist</w:t>
      </w:r>
    </w:p>
    <w:p>
      <w:pPr>
        <w:pStyle w:val="FirstParagraph"/>
      </w:pPr>
      <w:r>
        <w:t xml:space="preserve">The Economist engaged under this Quotation Estimate shall hold a minimum of a Master's degree in Economics, Econometrics, or a related discipline from an accredited institution, with a minimum of ten (10) years of professional experience in macroeconomic analysis, public policy, or corporate economic advisory. The Economist must be a resident of Abu Dhabi, United Arab Emirates, and hold a valid professional visa and work permit issued by the Abu Dhabi Department of Economic Development (AEDD). Prior experience with UAE government entities, free zone authorities, or multinational corporations operating in Abu Dhabi is strongly preferred.</w:t>
      </w:r>
    </w:p>
    <w:bookmarkEnd w:id="25"/>
    <w:bookmarkStart w:id="26" w:name="acceptance-authorization"/>
    <w:p>
      <w:pPr>
        <w:pStyle w:val="Heading2"/>
      </w:pPr>
      <w:r>
        <w:t xml:space="preserve">6. Acceptance &amp; Authorization</w:t>
      </w:r>
    </w:p>
    <w:p>
      <w:pPr>
        <w:pStyle w:val="FirstParagraph"/>
      </w:pPr>
      <w:r>
        <w:t xml:space="preserve">This Quotation Estimate is valid for thirty (30) calendar days from the date of issue. Acceptance of this Quotation Estimate constitutes a binding agreement to the terms outlined herein. The client is requested to sign and return a copy of this document to confirm engagement of the Economist services in Abu Dhabi, United Arab Emirates.</w:t>
      </w:r>
    </w:p>
    <w:p>
      <w:pPr>
        <w:pStyle w:val="BodyText"/>
      </w:pPr>
      <w:r>
        <w:rPr>
          <w:bCs/>
          <w:b/>
        </w:rPr>
        <w:t xml:space="preserve">For Meridian Economic Advisory LLC</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Economic Advisory LLC — CR No. 104872 — TRN: 100487200-3000 — Abu Dhabi, United Arab Emirates</w:t>
      </w:r>
    </w:p>
    <w:p>
      <w:pPr>
        <w:pStyle w:val="BodyText"/>
      </w:pPr>
      <w:r>
        <w:t xml:space="preserve">This Quotation Estimate is a confidential commercial document. Unauthorized reproduction or distribution is prohibited under UAE law.</w:t>
      </w:r>
    </w:p>
    <w:p>
      <w:pPr>
        <w:pStyle w:val="BodyText"/>
      </w:pPr>
      <w:r>
        <w:t xml:space="preserve">Document Reference: QE-AD-2025-04871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Arab Emirates Abu Dhabi</dc:title>
  <dc:creator/>
  <dc:language>en</dc:language>
  <cp:keywords/>
  <dcterms:created xsi:type="dcterms:W3CDTF">2026-10-10T08:51:29Z</dcterms:created>
  <dcterms:modified xsi:type="dcterms:W3CDTF">2026-10-10T08:51:29Z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