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rPr>
          <w:bCs/>
          <w:b/>
        </w:rPr>
        <w:t xml:space="preserve">Meridian Economic Advisory &amp; Consulting LLC</w:t>
      </w:r>
    </w:p>
    <w:p>
      <w:pPr>
        <w:pStyle w:val="BodyText"/>
      </w:pPr>
      <w:r>
        <w:t xml:space="preserve">Office 1407, Level 14, Burj Khalifa, Downtown Dubai, United Arab Emirates</w:t>
      </w:r>
    </w:p>
    <w:p>
      <w:pPr>
        <w:pStyle w:val="BodyText"/>
      </w:pPr>
      <w:r>
        <w:t xml:space="preserve">Tel: +971 4 555 0192 | Email: quotations@meridian-econ.ae | TRN: 100234567800003</w:t>
      </w:r>
    </w:p>
    <w:bookmarkEnd w:id="20"/>
    <w:p>
      <w:pPr>
        <w:pStyle w:val="BodyText"/>
      </w:pPr>
      <w:r>
        <w:rPr>
          <w:bCs/>
          <w:b/>
        </w:rPr>
        <w:t xml:space="preserve">Quotation No.:</w:t>
      </w:r>
      <w:r>
        <w:t xml:space="preserve"> </w:t>
      </w:r>
      <w:r>
        <w:t xml:space="preserve">QTE-2025-04871</w:t>
      </w:r>
    </w:p>
    <w:p>
      <w:pPr>
        <w:pStyle w:val="BodyText"/>
      </w:pPr>
      <w:r>
        <w:rPr>
          <w:bCs/>
          <w:b/>
        </w:rPr>
        <w:t xml:space="preserve">Date of Issue:</w:t>
      </w:r>
      <w:r>
        <w:t xml:space="preserve"> </w:t>
      </w:r>
      <w:r>
        <w:t xml:space="preserve">12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r>
        <w:t xml:space="preserve"> </w:t>
      </w:r>
      <w:r>
        <w:t xml:space="preserve">Gulf Strategic Holdings FZE</w:t>
      </w:r>
    </w:p>
    <w:p>
      <w:pPr>
        <w:pStyle w:val="BodyText"/>
      </w:pPr>
      <w:r>
        <w:rPr>
          <w:bCs/>
          <w:b/>
        </w:rPr>
        <w:t xml:space="preserve">Attn:</w:t>
      </w:r>
      <w:r>
        <w:t xml:space="preserve"> </w:t>
      </w:r>
      <w:r>
        <w:t xml:space="preserve">Mr. Khalid Al Mansoori, Chief Financial Officer</w:t>
      </w:r>
    </w:p>
    <w:p>
      <w:pPr>
        <w:pStyle w:val="BodyText"/>
      </w:pPr>
      <w:r>
        <w:rPr>
          <w:bCs/>
          <w:b/>
        </w:rPr>
        <w:t xml:space="preserve">Address:</w:t>
      </w:r>
      <w:r>
        <w:t xml:space="preserve"> </w:t>
      </w:r>
      <w:r>
        <w:t xml:space="preserve">DIFC Gate Village 7, Dubai, United Arab Emirates</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Economic Advisory &amp; Consulting LLC to provide a comprehensive, itemized breakdown of professional fees for the engagement of a senior</w:t>
      </w:r>
      <w:r>
        <w:t xml:space="preserve"> </w:t>
      </w:r>
      <w:r>
        <w:t xml:space="preserve">Economist</w:t>
      </w:r>
      <w:r>
        <w:t xml:space="preserve"> </w:t>
      </w:r>
      <w:r>
        <w:t xml:space="preserve">to deliver macroeconomic research, policy analysis, and strategic advisory services to Gulf Strategic Holdings FZE. All services described herein shall be rendered in accordance with the regulatory framework of the</w:t>
      </w:r>
      <w:r>
        <w:t xml:space="preserve"> </w:t>
      </w:r>
      <w:r>
        <w:t xml:space="preserve">United Arab Emirates Dubai</w:t>
      </w:r>
      <w:r>
        <w:t xml:space="preserve"> </w:t>
      </w:r>
      <w:r>
        <w:t xml:space="preserve">financial district and in full compliance with the Dubai Financial Services Authority (DFSA) guidelines where applicable.</w:t>
      </w:r>
    </w:p>
    <w:p>
      <w:pPr>
        <w:pStyle w:val="BodyText"/>
      </w:pPr>
      <w:r>
        <w:t xml:space="preserve">The</w:t>
      </w:r>
      <w:r>
        <w:t xml:space="preserve"> </w:t>
      </w:r>
      <w:r>
        <w:t xml:space="preserve">Economist</w:t>
      </w:r>
      <w:r>
        <w:t xml:space="preserve"> </w:t>
      </w:r>
      <w:r>
        <w:t xml:space="preserve">engaged under this</w:t>
      </w:r>
      <w:r>
        <w:t xml:space="preserve"> </w:t>
      </w:r>
      <w:r>
        <w:t xml:space="preserve">Quotation Estimate</w:t>
      </w:r>
      <w:r>
        <w:t xml:space="preserve"> </w:t>
      </w:r>
      <w:r>
        <w:t xml:space="preserve">shall hold a minimum of a Doctorate in Economics or a Master's degree with no fewer than twelve (12) years of demonstrated experience in macroeconomic modelling, fiscal policy analysis, and regional economic forecasting specific to the Gulf Cooperation Council (GCC) markets, with particular expertise in the</w:t>
      </w:r>
      <w:r>
        <w:t xml:space="preserve"> </w:t>
      </w:r>
      <w:r>
        <w:t xml:space="preserve">United Arab Emirates Dubai</w:t>
      </w:r>
      <w:r>
        <w:t xml:space="preserve"> </w:t>
      </w:r>
      <w:r>
        <w:t xml:space="preserve">economic landscape.</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Senior Economist – Monthly Retainer for Macroeconomic Research &amp; Forecasting (GDP, inflation, trade balance, currency dynamics specific to United Arab Emirates Dubai)</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Quarterly Economic Outlook Report – Written analysis of the United Arab Emirates Dubai economy including sectoral performance, FDI flows, and regulatory impact assessment</w:t>
            </w:r>
          </w:p>
        </w:tc>
        <w:tc>
          <w:tcPr/>
          <w:p>
            <w:pPr>
              <w:pStyle w:val="Compact"/>
              <w:jc w:val="left"/>
            </w:pPr>
            <w:r>
              <w:t xml:space="preserve">4 reports / year</w:t>
            </w:r>
          </w:p>
        </w:tc>
        <w:tc>
          <w:tcPr/>
          <w:p>
            <w:pPr>
              <w:pStyle w:val="Compact"/>
              <w:jc w:val="left"/>
            </w:pPr>
            <w:r>
              <w:t xml:space="preserve">35,000 / report</w:t>
            </w:r>
          </w:p>
        </w:tc>
        <w:tc>
          <w:tcPr/>
          <w:p>
            <w:pPr>
              <w:pStyle w:val="Compact"/>
              <w:jc w:val="left"/>
            </w:pPr>
            <w:r>
              <w:t xml:space="preserve">140,000</w:t>
            </w:r>
          </w:p>
        </w:tc>
      </w:tr>
      <w:tr>
        <w:tc>
          <w:tcPr/>
          <w:p>
            <w:pPr>
              <w:pStyle w:val="Compact"/>
              <w:jc w:val="left"/>
            </w:pPr>
            <w:r>
              <w:t xml:space="preserve">03</w:t>
            </w:r>
          </w:p>
        </w:tc>
        <w:tc>
          <w:tcPr/>
          <w:p>
            <w:pPr>
              <w:pStyle w:val="Compact"/>
              <w:jc w:val="left"/>
            </w:pPr>
            <w:r>
              <w:t xml:space="preserve">Ad-hoc Policy Advisory Sessions – On-demand consultations with the CFO and board regarding fiscal policy changes, tax reform implications, and monetary policy shifts in the UAE</w:t>
            </w:r>
          </w:p>
        </w:tc>
        <w:tc>
          <w:tcPr/>
          <w:p>
            <w:pPr>
              <w:pStyle w:val="Compact"/>
              <w:jc w:val="left"/>
            </w:pPr>
            <w:r>
              <w:t xml:space="preserve">Up to 8 sessions / year</w:t>
            </w:r>
          </w:p>
        </w:tc>
        <w:tc>
          <w:tcPr/>
          <w:p>
            <w:pPr>
              <w:pStyle w:val="Compact"/>
              <w:jc w:val="left"/>
            </w:pPr>
            <w:r>
              <w:t xml:space="preserve">8,500 / session</w:t>
            </w:r>
          </w:p>
        </w:tc>
        <w:tc>
          <w:tcPr/>
          <w:p>
            <w:pPr>
              <w:pStyle w:val="Compact"/>
              <w:jc w:val="left"/>
            </w:pPr>
            <w:r>
              <w:t xml:space="preserve">68,000</w:t>
            </w:r>
          </w:p>
        </w:tc>
      </w:tr>
      <w:tr>
        <w:tc>
          <w:tcPr/>
          <w:p>
            <w:pPr>
              <w:pStyle w:val="Compact"/>
              <w:jc w:val="left"/>
            </w:pPr>
            <w:r>
              <w:t xml:space="preserve">04</w:t>
            </w:r>
          </w:p>
        </w:tc>
        <w:tc>
          <w:tcPr/>
          <w:p>
            <w:pPr>
              <w:pStyle w:val="Compact"/>
              <w:jc w:val="left"/>
            </w:pPr>
            <w:r>
              <w:t xml:space="preserve">Economic Risk Modelling &amp; Stress Testing – Development of quantitative models to assess exposure to oil price volatility, regional geopolitical risk, and currency fluctuation for the United Arab Emirates Dubai market</w:t>
            </w:r>
          </w:p>
        </w:tc>
        <w:tc>
          <w:tcPr/>
          <w:p>
            <w:pPr>
              <w:pStyle w:val="Compact"/>
              <w:jc w:val="left"/>
            </w:pPr>
            <w:r>
              <w:t xml:space="preserve">One-time engagement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Travel, Accommodation &amp; Local Transportation within Dubai for on-site meetings at the client's DIFC office</w:t>
            </w:r>
          </w:p>
        </w:tc>
        <w:tc>
          <w:tcPr/>
          <w:p>
            <w:pPr>
              <w:pStyle w:val="Compact"/>
              <w:jc w:val="left"/>
            </w:pPr>
            <w:r>
              <w:t xml:space="preserve">Estimated 24 days / year</w:t>
            </w:r>
          </w:p>
        </w:tc>
        <w:tc>
          <w:tcPr/>
          <w:p>
            <w:pPr>
              <w:pStyle w:val="Compact"/>
              <w:jc w:val="left"/>
            </w:pPr>
            <w:r>
              <w:t xml:space="preserve">2,200 / day</w:t>
            </w:r>
          </w:p>
        </w:tc>
        <w:tc>
          <w:tcPr/>
          <w:p>
            <w:pPr>
              <w:pStyle w:val="Compact"/>
              <w:jc w:val="left"/>
            </w:pPr>
            <w:r>
              <w:t xml:space="preserve">52,800</w:t>
            </w:r>
          </w:p>
        </w:tc>
      </w:tr>
      <w:tr>
        <w:tc>
          <w:tcPr/>
          <w:p>
            <w:pPr>
              <w:pStyle w:val="Compact"/>
              <w:jc w:val="left"/>
            </w:pPr>
            <w:r>
              <w:t xml:space="preserve">06</w:t>
            </w:r>
          </w:p>
        </w:tc>
        <w:tc>
          <w:tcPr/>
          <w:p>
            <w:pPr>
              <w:pStyle w:val="Compact"/>
              <w:jc w:val="left"/>
            </w:pPr>
            <w:r>
              <w:t xml:space="preserve">Access to Proprietary Economic Databases (Bloomberg, IMF WEO, World Bank, UAE Central Bank data feeds) – Annual subscription allocation</w:t>
            </w:r>
          </w:p>
        </w:tc>
        <w:tc>
          <w:tcPr/>
          <w:p>
            <w:pPr>
              <w:pStyle w:val="Compact"/>
              <w:jc w:val="left"/>
            </w:pPr>
            <w:r>
              <w:t xml:space="preserve">12 months</w:t>
            </w:r>
          </w:p>
        </w:tc>
        <w:tc>
          <w:tcPr/>
          <w:p>
            <w:pPr>
              <w:pStyle w:val="Compact"/>
              <w:jc w:val="left"/>
            </w:pPr>
            <w:r>
              <w:t xml:space="preserve">18,000 / year</w:t>
            </w:r>
          </w:p>
        </w:tc>
        <w:tc>
          <w:tcPr/>
          <w:p>
            <w:pPr>
              <w:pStyle w:val="Compact"/>
              <w:jc w:val="left"/>
            </w:pPr>
            <w:r>
              <w:t xml:space="preserve">18,000</w:t>
            </w:r>
          </w:p>
        </w:tc>
      </w:tr>
      <w:tr>
        <w:tc>
          <w:tcPr/>
          <w:p>
            <w:pPr>
              <w:pStyle w:val="Compact"/>
              <w:jc w:val="left"/>
            </w:pPr>
            <w:r>
              <w:t xml:space="preserve">07</w:t>
            </w:r>
          </w:p>
        </w:tc>
        <w:tc>
          <w:tcPr/>
          <w:p>
            <w:pPr>
              <w:pStyle w:val="Compact"/>
              <w:jc w:val="left"/>
            </w:pPr>
            <w:r>
              <w:t xml:space="preserve">Project Management &amp; Administrative Coordination – Dedicated account manager to oversee deliverables, scheduling, and reporting for the Economist engagement</w:t>
            </w:r>
          </w:p>
        </w:tc>
        <w:tc>
          <w:tcPr/>
          <w:p>
            <w:pPr>
              <w:pStyle w:val="Compact"/>
              <w:jc w:val="left"/>
            </w:pPr>
            <w:r>
              <w:t xml:space="preserve">12 months</w:t>
            </w:r>
          </w:p>
        </w:tc>
        <w:tc>
          <w:tcPr/>
          <w:p>
            <w:pPr>
              <w:pStyle w:val="Compact"/>
              <w:jc w:val="left"/>
            </w:pPr>
            <w:r>
              <w:t xml:space="preserve">6,000 / month</w:t>
            </w:r>
          </w:p>
        </w:tc>
        <w:tc>
          <w:tcPr/>
          <w:p>
            <w:pPr>
              <w:pStyle w:val="Compact"/>
              <w:jc w:val="left"/>
            </w:pPr>
            <w:r>
              <w:t xml:space="preserve">72,000</w:t>
            </w:r>
          </w:p>
        </w:tc>
      </w:tr>
      <w:tr>
        <w:tc>
          <w:tcPr>
            <w:gridSpan w:val="4"/>
          </w:tcPr>
          <w:p>
            <w:pPr>
              <w:pStyle w:val="Compact"/>
              <w:jc w:val="right"/>
            </w:pPr>
            <w:r>
              <w:t xml:space="preserve">Subtotal (AED)</w:t>
            </w:r>
          </w:p>
        </w:tc>
        <w:tc>
          <w:tcPr/>
          <w:p>
            <w:pPr>
              <w:pStyle w:val="Compact"/>
              <w:jc w:val="left"/>
            </w:pPr>
            <w:r>
              <w:t xml:space="preserve">1,010,800</w:t>
            </w:r>
          </w:p>
        </w:tc>
      </w:tr>
      <w:tr>
        <w:tc>
          <w:tcPr>
            <w:gridSpan w:val="4"/>
          </w:tcPr>
          <w:p>
            <w:pPr>
              <w:pStyle w:val="Compact"/>
              <w:jc w:val="right"/>
            </w:pPr>
            <w:r>
              <w:t xml:space="preserve">VAT @ 5% (United Arab Emirates Dubai)</w:t>
            </w:r>
          </w:p>
        </w:tc>
        <w:tc>
          <w:tcPr/>
          <w:p>
            <w:pPr>
              <w:pStyle w:val="Compact"/>
              <w:jc w:val="left"/>
            </w:pPr>
            <w:r>
              <w:t xml:space="preserve">50,540</w:t>
            </w:r>
          </w:p>
        </w:tc>
      </w:tr>
      <w:tr>
        <w:tc>
          <w:tcPr>
            <w:gridSpan w:val="4"/>
          </w:tcPr>
          <w:p>
            <w:pPr>
              <w:pStyle w:val="Compact"/>
              <w:jc w:val="right"/>
            </w:pPr>
            <w:r>
              <w:t xml:space="preserve">Grand Total (AED)</w:t>
            </w:r>
          </w:p>
        </w:tc>
        <w:tc>
          <w:tcPr/>
          <w:p>
            <w:pPr>
              <w:pStyle w:val="Compact"/>
              <w:jc w:val="left"/>
            </w:pPr>
            <w:r>
              <w:t xml:space="preserve">1,061,340</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without prior notice.</w:t>
      </w:r>
    </w:p>
    <w:p>
      <w:pPr>
        <w:pStyle w:val="BodyText"/>
      </w:pPr>
      <w:r>
        <w:rPr>
          <w:bCs/>
          <w:b/>
        </w:rPr>
        <w:t xml:space="preserve">3.2</w:t>
      </w:r>
      <w:r>
        <w:t xml:space="preserve"> </w:t>
      </w:r>
      <w:r>
        <w:t xml:space="preserve">Payment terms: 40% advance upon execution of the service agreement, 30% upon delivery of the second quarterly report, and 30% upon completion of the twelfth month. All payments shall be made in United Arab Emirates Dirhams (AED) via bank transfer to the account designated by Meridian Economic Advisory &amp; Consulting LLC, Dubai branch.</w:t>
      </w:r>
    </w:p>
    <w:p>
      <w:pPr>
        <w:pStyle w:val="BodyText"/>
      </w:pPr>
      <w:r>
        <w:rPr>
          <w:bCs/>
          <w:b/>
        </w:rPr>
        <w:t xml:space="preserve">3.3</w:t>
      </w:r>
      <w:r>
        <w:t xml:space="preserve"> </w:t>
      </w:r>
      <w:r>
        <w:t xml:space="preserve">The</w:t>
      </w:r>
      <w:r>
        <w:t xml:space="preserve"> </w:t>
      </w:r>
      <w:r>
        <w:t xml:space="preserve">Economist</w:t>
      </w:r>
      <w:r>
        <w:t xml:space="preserve"> </w:t>
      </w:r>
      <w:r>
        <w:t xml:space="preserve">engaged under this arrangement shall be bound by a strict Non-Disclosure Agreement (NDA) in compliance with the UAE Federal Decree-Law No. 50 of 2022 on Commercial Secrets. All research outputs, models, and proprietary data generated during the engagement shall remain the exclusive intellectual property of Gulf Strategic Holdings FZE.</w:t>
      </w:r>
    </w:p>
    <w:p>
      <w:pPr>
        <w:pStyle w:val="BodyText"/>
      </w:pPr>
      <w:r>
        <w:rPr>
          <w:bCs/>
          <w:b/>
        </w:rPr>
        <w:t xml:space="preserve">3.4</w:t>
      </w:r>
      <w:r>
        <w:t xml:space="preserve"> </w:t>
      </w:r>
      <w:r>
        <w:t xml:space="preserve">Any additional services beyond the scope defined in this</w:t>
      </w:r>
      <w:r>
        <w:t xml:space="preserve"> </w:t>
      </w:r>
      <w:r>
        <w:t xml:space="preserve">Quotation Estimate</w:t>
      </w:r>
      <w:r>
        <w:t xml:space="preserve"> </w:t>
      </w:r>
      <w:r>
        <w:t xml:space="preserve">shall be subject to a separate written amendment and additional fees at the rates specified in Schedule B of the master service agreement.</w:t>
      </w:r>
    </w:p>
    <w:p>
      <w:pPr>
        <w:pStyle w:val="BodyText"/>
      </w:pPr>
      <w:r>
        <w:rPr>
          <w:bCs/>
          <w:b/>
        </w:rPr>
        <w:t xml:space="preserve">3.5</w:t>
      </w:r>
      <w:r>
        <w:t xml:space="preserve"> </w:t>
      </w:r>
      <w:r>
        <w:t xml:space="preserve">This engagement is governed by the laws of the</w:t>
      </w:r>
      <w:r>
        <w:t xml:space="preserve"> </w:t>
      </w:r>
      <w:r>
        <w:t xml:space="preserve">United Arab Emirates</w:t>
      </w:r>
      <w:r>
        <w:t xml:space="preserve">, and any disputes arising shall be resolved through arbitration in Dubai under the rules of the Dubai International Arbitration Centre (DIAC).</w:t>
      </w:r>
    </w:p>
    <w:p>
      <w:pPr>
        <w:pStyle w:val="BodyText"/>
      </w:pPr>
      <w:r>
        <w:rPr>
          <w:bCs/>
          <w:b/>
        </w:rPr>
        <w:t xml:space="preserve">3.6</w:t>
      </w:r>
      <w:r>
        <w:t xml:space="preserve"> </w:t>
      </w:r>
      <w:r>
        <w:t xml:space="preserve">The</w:t>
      </w:r>
      <w:r>
        <w:t xml:space="preserve"> </w:t>
      </w:r>
      <w:r>
        <w:t xml:space="preserve">Economist</w:t>
      </w:r>
      <w:r>
        <w:t xml:space="preserve"> </w:t>
      </w:r>
      <w:r>
        <w:t xml:space="preserve">shall comply with all applicable regulations of the Dubai Financial Services Authority (DFSA) and the Central Bank of the United Arab Emirates where the scope of work intersects with regulated financial analysis.</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constitute a binding contract. A formal Service Level Agreement (SLA) and Master Service Agreement (MSA) must be executed by both parties prior to the commencement of any services. All figures are quoted in AED and are inclusive of applicable UAE Value Added Tax (VAT) at the standard rate of 5% as mandated by the Federal Tax Authority, United Arab Emirates Dubai.</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proposed terms, scope, and pricing for the engagement of the</w:t>
      </w:r>
      <w:r>
        <w:t xml:space="preserve"> </w:t>
      </w:r>
      <w:r>
        <w:t xml:space="preserve">Economist</w:t>
      </w:r>
      <w:r>
        <w:t xml:space="preserve"> </w:t>
      </w:r>
      <w:r>
        <w:t xml:space="preserve">as described herein for operations within the</w:t>
      </w:r>
      <w:r>
        <w:t xml:space="preserve"> </w:t>
      </w:r>
      <w:r>
        <w:t xml:space="preserve">United Arab Emirates Dubai</w:t>
      </w:r>
      <w:r>
        <w:t xml:space="preserve"> </w:t>
      </w:r>
      <w:r>
        <w:t xml:space="preserve">jurisdiction.</w:t>
      </w:r>
    </w:p>
    <w:p>
      <w:pPr>
        <w:pStyle w:val="BodyText"/>
      </w:pPr>
      <w:r>
        <w:rPr>
          <w:bCs/>
          <w:b/>
        </w:rPr>
        <w:t xml:space="preserve">For and on behalf of</w:t>
      </w:r>
      <w:r>
        <w:br/>
      </w:r>
      <w:r>
        <w:t xml:space="preserve">Meridian Economic Advisory &amp; Consulting LLC</w:t>
      </w:r>
    </w:p>
    <w:p>
      <w:pPr>
        <w:pStyle w:val="BodyText"/>
      </w:pPr>
      <w:r>
        <w:t xml:space="preserve">Name: Dr. Fatima Al Rashidi</w:t>
      </w:r>
      <w:r>
        <w:br/>
      </w:r>
      <w:r>
        <w:t xml:space="preserve">Title: Managing Director</w:t>
      </w:r>
      <w:r>
        <w:br/>
      </w:r>
      <w:r>
        <w:t xml:space="preserve">Signature &amp; Date: _________________________</w:t>
      </w:r>
    </w:p>
    <w:p>
      <w:pPr>
        <w:pStyle w:val="BodyText"/>
      </w:pPr>
      <w:r>
        <w:rPr>
          <w:bCs/>
          <w:b/>
        </w:rPr>
        <w:t xml:space="preserve">For and on behalf of</w:t>
      </w:r>
      <w:r>
        <w:br/>
      </w:r>
      <w:r>
        <w:t xml:space="preserve">Gulf Strategic Holdings FZE</w:t>
      </w:r>
    </w:p>
    <w:p>
      <w:pPr>
        <w:pStyle w:val="BodyText"/>
      </w:pPr>
      <w:r>
        <w:t xml:space="preserve">Name: Mr. Khalid Al Mansoori</w:t>
      </w:r>
      <w:r>
        <w:br/>
      </w:r>
      <w:r>
        <w:t xml:space="preserve">Title: Chief Financial Officer</w:t>
      </w:r>
      <w:r>
        <w:br/>
      </w:r>
      <w:r>
        <w:t xml:space="preserve">Signature &amp; Date: _________________________</w:t>
      </w:r>
    </w:p>
    <w:p>
      <w:pPr>
        <w:pStyle w:val="BodyText"/>
      </w:pPr>
      <w:r>
        <w:t xml:space="preserve">Meridian Economic Advisory &amp; Consulting LLC | TRN: 100234567800003 | License No. DED-2019-44871</w:t>
      </w:r>
    </w:p>
    <w:p>
      <w:pPr>
        <w:pStyle w:val="BodyText"/>
      </w:pPr>
      <w:r>
        <w:t xml:space="preserve">Registered Office: Burj Khalifa, Downtown Dubai, United Arab Emirates | This Quotation Estimate is the property of Meridian Economic Advisory &amp; Consulting LLC and may not be reproduced without written consent.</w:t>
      </w:r>
    </w:p>
    <w:p>
      <w:pPr>
        <w:pStyle w:val="BodyText"/>
      </w:pPr>
      <w:r>
        <w:t xml:space="preserve">Page 1 of 1 | Generated: 12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United Arab Emirates Dubai</dc:title>
  <dc:creator/>
  <dc:language>en</dc:language>
  <cp:keywords/>
  <dcterms:created xsi:type="dcterms:W3CDTF">2026-10-10T07:07:43Z</dcterms:created>
  <dcterms:modified xsi:type="dcterms:W3CDTF">2026-10-10T07:07:43Z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