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eridian-economic-consulting-group"/>
    <w:p>
      <w:pPr>
        <w:pStyle w:val="Heading1"/>
      </w:pPr>
      <w:r>
        <w:t xml:space="preserve">Meridian Economic Consulting Group</w:t>
      </w:r>
    </w:p>
    <w:p>
      <w:pPr>
        <w:pStyle w:val="FirstParagraph"/>
      </w:pPr>
      <w:r>
        <w:t xml:space="preserve">1200 Biscayne Boulevard, Suite 2400, Miami, Florida 33132, United States</w:t>
      </w:r>
    </w:p>
    <w:p>
      <w:pPr>
        <w:pStyle w:val="BodyText"/>
      </w:pPr>
      <w:r>
        <w:t xml:space="preserve">Tel: +1 (305) 555-0187 | Email: quotations@meridianecon.com | EIN: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QTE-2025-MIA-0472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United States Miami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Atlantic Coastal Development Authority</w:t>
      </w:r>
    </w:p>
    <w:p>
      <w:pPr>
        <w:pStyle w:val="BodyText"/>
      </w:pPr>
      <w:r>
        <w:rPr>
          <w:bCs/>
          <w:b/>
        </w:rPr>
        <w:t xml:space="preserve">Address:</w:t>
      </w:r>
      <w:r>
        <w:t xml:space="preserve"> </w:t>
      </w:r>
      <w:r>
        <w:t xml:space="preserve">800 Brickell Avenue, Miami, FL 33131</w:t>
      </w:r>
    </w:p>
    <w:p>
      <w:pPr>
        <w:pStyle w:val="BodyText"/>
      </w:pPr>
      <w:r>
        <w:rPr>
          <w:bCs/>
          <w:b/>
        </w:rPr>
        <w:t xml:space="preserve">Contact:</w:t>
      </w:r>
      <w:r>
        <w:t xml:space="preserve"> </w:t>
      </w:r>
      <w:r>
        <w:t xml:space="preserve">Dr. Helena Vasquez, Director of Planning</w:t>
      </w:r>
    </w:p>
    <w:p>
      <w:pPr>
        <w:pStyle w:val="BodyText"/>
      </w:pPr>
      <w:r>
        <w:rPr>
          <w:bCs/>
          <w:b/>
        </w:rPr>
        <w:t xml:space="preserve">Email:</w:t>
      </w:r>
      <w:r>
        <w:t xml:space="preserve"> </w:t>
      </w:r>
      <w:r>
        <w:t xml:space="preserve">h.vasquez@acda-miami.gov</w:t>
      </w:r>
    </w:p>
    <w:bookmarkEnd w:id="22"/>
    <w:p>
      <w:pPr>
        <w:pStyle w:val="BodyText"/>
      </w:pPr>
      <w:r>
        <w:t xml:space="preserve">This</w:t>
      </w:r>
      <w:r>
        <w:t xml:space="preserve"> </w:t>
      </w:r>
      <w:r>
        <w:t xml:space="preserve">Quotation Estimate</w:t>
      </w:r>
      <w:r>
        <w:t xml:space="preserve"> </w:t>
      </w:r>
      <w:r>
        <w:t xml:space="preserve">is issued by Meridian Economic Consulting Group in response to the formal request for professional economic advisory services in the</w:t>
      </w:r>
      <w:r>
        <w:t xml:space="preserve"> </w:t>
      </w:r>
      <w:r>
        <w:t xml:space="preserve">United States Miami</w:t>
      </w:r>
      <w:r>
        <w:t xml:space="preserve"> </w:t>
      </w:r>
      <w:r>
        <w:t xml:space="preserve">metropolitan area. The scope of work outlined herein pertains to the engagement of a senior</w:t>
      </w:r>
      <w:r>
        <w:t xml:space="preserve"> </w:t>
      </w:r>
      <w:r>
        <w:t xml:space="preserve">Economist</w:t>
      </w:r>
      <w:r>
        <w:t xml:space="preserve"> </w:t>
      </w:r>
      <w:r>
        <w:t xml:space="preserve">to provide comprehensive macroeconomic analysis, regional forecasting, and policy advisory support tailored to the unique economic landscape of Miami and its surrounding counties. This document constitutes a binding</w:t>
      </w:r>
      <w:r>
        <w:t xml:space="preserve"> </w:t>
      </w:r>
      <w:r>
        <w:t xml:space="preserve">Quotation Estimate</w:t>
      </w:r>
      <w:r>
        <w:t xml:space="preserve"> </w:t>
      </w:r>
      <w:r>
        <w:t xml:space="preserve">for the services described below and remains valid for thirty (30) calendar days from the date of issue.</w:t>
      </w:r>
    </w:p>
    <w:p>
      <w:pPr>
        <w:pStyle w:val="BodyText"/>
      </w:pPr>
      <w:r>
        <w:t xml:space="preserve">Scope of Services – Economist Engagement</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deliver the following professional services within the</w:t>
      </w:r>
      <w:r>
        <w:t xml:space="preserve"> </w:t>
      </w:r>
      <w:r>
        <w:t xml:space="preserve">United States Miami</w:t>
      </w:r>
      <w:r>
        <w:t xml:space="preserve"> </w:t>
      </w:r>
      <w:r>
        <w:t xml:space="preserve">jurisdiction, including but not limited to Miami-Dade, Broward, and Monroe Counties: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Senior Economist – Macroeconomic Analysis &amp; Regional Forecasting for the United States Miami metropolitan statistical area, including GDP projections, employment modeling, and inflation trend analysis.</w:t>
            </w:r>
          </w:p>
        </w:tc>
        <w:tc>
          <w:tcPr/>
          <w:p>
            <w:pPr>
              <w:pStyle w:val="Compact"/>
              <w:jc w:val="left"/>
            </w:pPr>
            <w:r>
              <w:t xml:space="preserve">12 months</w:t>
            </w:r>
          </w:p>
        </w:tc>
        <w:tc>
          <w:tcPr/>
          <w:p>
            <w:pPr>
              <w:pStyle w:val="Compact"/>
              <w:jc w:val="left"/>
            </w:pPr>
            <w:r>
              <w:t xml:space="preserve">$285/hr</w:t>
            </w:r>
          </w:p>
        </w:tc>
        <w:tc>
          <w:tcPr/>
          <w:p>
            <w:pPr>
              <w:pStyle w:val="Compact"/>
              <w:jc w:val="left"/>
            </w:pPr>
            <w:r>
              <w:t xml:space="preserve">$148,320.00</w:t>
            </w:r>
          </w:p>
        </w:tc>
      </w:tr>
      <w:tr>
        <w:tc>
          <w:tcPr/>
          <w:p>
            <w:pPr>
              <w:pStyle w:val="Compact"/>
              <w:jc w:val="left"/>
            </w:pPr>
            <w:r>
              <w:t xml:space="preserve">2</w:t>
            </w:r>
          </w:p>
        </w:tc>
        <w:tc>
          <w:tcPr/>
          <w:p>
            <w:pPr>
              <w:pStyle w:val="Compact"/>
              <w:jc w:val="left"/>
            </w:pPr>
            <w:r>
              <w:t xml:space="preserve">Economist – Real Estate &amp; Housing Market Assessment specific to the United States Miami coastal and urban corridors, including supply-demand modeling and affordability indices.</w:t>
            </w:r>
          </w:p>
        </w:tc>
        <w:tc>
          <w:tcPr/>
          <w:p>
            <w:pPr>
              <w:pStyle w:val="Compact"/>
              <w:jc w:val="left"/>
            </w:pPr>
            <w:r>
              <w:t xml:space="preserve">6 months</w:t>
            </w:r>
          </w:p>
        </w:tc>
        <w:tc>
          <w:tcPr/>
          <w:p>
            <w:pPr>
              <w:pStyle w:val="Compact"/>
              <w:jc w:val="left"/>
            </w:pPr>
            <w:r>
              <w:t xml:space="preserve">$240/hr</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Economist – Trade &amp; International Commerce Advisory, focusing on Miami's role as a gateway for Latin American and Caribbean trade flows within the United States.</w:t>
            </w:r>
          </w:p>
        </w:tc>
        <w:tc>
          <w:tcPr/>
          <w:p>
            <w:pPr>
              <w:pStyle w:val="Compact"/>
              <w:jc w:val="left"/>
            </w:pPr>
            <w:r>
              <w:t xml:space="preserve">12 months</w:t>
            </w:r>
          </w:p>
        </w:tc>
        <w:tc>
          <w:tcPr/>
          <w:p>
            <w:pPr>
              <w:pStyle w:val="Compact"/>
              <w:jc w:val="left"/>
            </w:pPr>
            <w:r>
              <w:t xml:space="preserve">$260/hr</w:t>
            </w:r>
          </w:p>
        </w:tc>
        <w:tc>
          <w:tcPr/>
          <w:p>
            <w:pPr>
              <w:pStyle w:val="Compact"/>
              <w:jc w:val="left"/>
            </w:pPr>
            <w:r>
              <w:t xml:space="preserve">$133,120.00</w:t>
            </w:r>
          </w:p>
        </w:tc>
      </w:tr>
      <w:tr>
        <w:tc>
          <w:tcPr/>
          <w:p>
            <w:pPr>
              <w:pStyle w:val="Compact"/>
              <w:jc w:val="left"/>
            </w:pPr>
            <w:r>
              <w:t xml:space="preserve">4</w:t>
            </w:r>
          </w:p>
        </w:tc>
        <w:tc>
          <w:tcPr/>
          <w:p>
            <w:pPr>
              <w:pStyle w:val="Compact"/>
              <w:jc w:val="left"/>
            </w:pPr>
            <w:r>
              <w:t xml:space="preserve">Economist – Climate Risk &amp; Economic Resilience Modeling for the United States Miami region, incorporating sea-level rise projections, hurricane frequency analysis, and insurance market impacts.</w:t>
            </w:r>
          </w:p>
        </w:tc>
        <w:tc>
          <w:tcPr/>
          <w:p>
            <w:pPr>
              <w:pStyle w:val="Compact"/>
              <w:jc w:val="left"/>
            </w:pPr>
            <w:r>
              <w:t xml:space="preserve">8 months</w:t>
            </w:r>
          </w:p>
        </w:tc>
        <w:tc>
          <w:tcPr/>
          <w:p>
            <w:pPr>
              <w:pStyle w:val="Compact"/>
              <w:jc w:val="left"/>
            </w:pPr>
            <w:r>
              <w:t xml:space="preserve">$275/hr</w:t>
            </w:r>
          </w:p>
        </w:tc>
        <w:tc>
          <w:tcPr/>
          <w:p>
            <w:pPr>
              <w:pStyle w:val="Compact"/>
              <w:jc w:val="left"/>
            </w:pPr>
            <w:r>
              <w:t xml:space="preserve">$110,000.00</w:t>
            </w:r>
          </w:p>
        </w:tc>
      </w:tr>
      <w:tr>
        <w:tc>
          <w:tcPr/>
          <w:p>
            <w:pPr>
              <w:pStyle w:val="Compact"/>
              <w:jc w:val="left"/>
            </w:pPr>
            <w:r>
              <w:t xml:space="preserve">5</w:t>
            </w:r>
          </w:p>
        </w:tc>
        <w:tc>
          <w:tcPr/>
          <w:p>
            <w:pPr>
              <w:pStyle w:val="Compact"/>
              <w:jc w:val="left"/>
            </w:pPr>
            <w:r>
              <w:t xml:space="preserve">Economist – Tourism &amp; Hospitality Sector Economic Impact Study for the United States Miami metropolitan area, including multiplier effects and seasonal demand forecasting.</w:t>
            </w:r>
          </w:p>
        </w:tc>
        <w:tc>
          <w:tcPr/>
          <w:p>
            <w:pPr>
              <w:pStyle w:val="Compact"/>
              <w:jc w:val="left"/>
            </w:pPr>
            <w:r>
              <w:t xml:space="preserve">4 months</w:t>
            </w:r>
          </w:p>
        </w:tc>
        <w:tc>
          <w:tcPr/>
          <w:p>
            <w:pPr>
              <w:pStyle w:val="Compact"/>
              <w:jc w:val="left"/>
            </w:pPr>
            <w:r>
              <w:t xml:space="preserve">$230/hr</w:t>
            </w:r>
          </w:p>
        </w:tc>
        <w:tc>
          <w:tcPr/>
          <w:p>
            <w:pPr>
              <w:pStyle w:val="Compact"/>
              <w:jc w:val="left"/>
            </w:pPr>
            <w:r>
              <w:t xml:space="preserve">$36,800.00</w:t>
            </w:r>
          </w:p>
        </w:tc>
      </w:tr>
      <w:tr>
        <w:tc>
          <w:tcPr/>
          <w:p>
            <w:pPr>
              <w:pStyle w:val="Compact"/>
              <w:jc w:val="left"/>
            </w:pPr>
            <w:r>
              <w:t xml:space="preserve">6</w:t>
            </w:r>
          </w:p>
        </w:tc>
        <w:tc>
          <w:tcPr/>
          <w:p>
            <w:pPr>
              <w:pStyle w:val="Compact"/>
              <w:jc w:val="left"/>
            </w:pPr>
            <w:r>
              <w:t xml:space="preserve">Economist – Policy Brief Preparation &amp; Testimony Support for Miami-Dade County Commission and Florida State Legislature sessions.</w:t>
            </w:r>
          </w:p>
        </w:tc>
        <w:tc>
          <w:tcPr/>
          <w:p>
            <w:pPr>
              <w:pStyle w:val="Compact"/>
              <w:jc w:val="left"/>
            </w:pPr>
            <w:r>
              <w:t xml:space="preserve">Ongoing</w:t>
            </w:r>
          </w:p>
        </w:tc>
        <w:tc>
          <w:tcPr/>
          <w:p>
            <w:pPr>
              <w:pStyle w:val="Compact"/>
              <w:jc w:val="left"/>
            </w:pPr>
            <w:r>
              <w:t xml:space="preserve">$310/hr</w:t>
            </w:r>
          </w:p>
        </w:tc>
        <w:tc>
          <w:tcPr/>
          <w:p>
            <w:pPr>
              <w:pStyle w:val="Compact"/>
              <w:jc w:val="left"/>
            </w:pPr>
            <w:r>
              <w:t xml:space="preserve">$49,600.00</w:t>
            </w:r>
          </w:p>
        </w:tc>
      </w:tr>
      <w:tr>
        <w:tc>
          <w:tcPr/>
          <w:p>
            <w:pPr>
              <w:pStyle w:val="Compact"/>
              <w:jc w:val="left"/>
            </w:pPr>
            <w:r>
              <w:t xml:space="preserve">7</w:t>
            </w:r>
          </w:p>
        </w:tc>
        <w:tc>
          <w:tcPr/>
          <w:p>
            <w:pPr>
              <w:pStyle w:val="Compact"/>
              <w:jc w:val="left"/>
            </w:pPr>
            <w:r>
              <w:t xml:space="preserve">Administrative &amp; Reporting Overhead (data licensing, software, travel within United States Miami area, document production).</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$22,400.00</w:t>
            </w:r>
          </w:p>
        </w:tc>
      </w:tr>
      <w:tr>
        <w:tc>
          <w:tcPr>
            <w:gridSpan w:val="4"/>
          </w:tcPr>
          <w:p>
            <w:pPr>
              <w:pStyle w:val="Compact"/>
              <w:jc w:val="right"/>
            </w:pPr>
            <w:r>
              <w:t xml:space="preserve">TOTAL ESTIMATED COST</w:t>
            </w:r>
          </w:p>
        </w:tc>
        <w:tc>
          <w:tcPr/>
          <w:p>
            <w:pPr>
              <w:pStyle w:val="Compact"/>
              <w:jc w:val="left"/>
            </w:pPr>
            <w:r>
              <w:t xml:space="preserve">$557,840.00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days from the date of issue. After the expiration date, all rates and terms are subject to revision based on prevailing market conditions in the United States Miami professional services sector.</w:t>
      </w:r>
    </w:p>
    <w:p>
      <w:pPr>
        <w:pStyle w:val="BodyText"/>
      </w:pPr>
      <w:r>
        <w:rPr>
          <w:bCs/>
          <w:b/>
        </w:rPr>
        <w:t xml:space="preserve">2. Payment Terms:</w:t>
      </w:r>
      <w:r>
        <w:t xml:space="preserve"> </w:t>
      </w:r>
      <w:r>
        <w:t xml:space="preserve">Invoices shall be issued monthly in arrears. Payment is due within thirty (30) days of invoice date via wire transfer to the account designated by Meridian Economic Consulting Group. A late payment fee of 1.5% per month shall apply to outstanding balances.</w:t>
      </w:r>
    </w:p>
    <w:p>
      <w:pPr>
        <w:pStyle w:val="BodyText"/>
      </w:pPr>
      <w:r>
        <w:rPr>
          <w:bCs/>
          <w:b/>
        </w:rPr>
        <w:t xml:space="preserve">3. Economist Qualifications:</w:t>
      </w:r>
      <w:r>
        <w:t xml:space="preserve"> </w:t>
      </w:r>
      <w:r>
        <w:t xml:space="preserve">The Economist assigned to this engagement shall hold a minimum of a Doctorate in Economics (Ph.D.) or equivalent, with no fewer than fifteen (15) years of professional experience in macroeconomic analysis, regional economics, or public policy. The Economist must be a licensed professional in the State of Florida and maintain current membership in the American Economic Association.</w:t>
      </w:r>
    </w:p>
    <w:p>
      <w:pPr>
        <w:pStyle w:val="BodyText"/>
      </w:pPr>
      <w:r>
        <w:rPr>
          <w:bCs/>
          <w:b/>
        </w:rPr>
        <w:t xml:space="preserve">4. Geographic Scope:</w:t>
      </w:r>
      <w:r>
        <w:t xml:space="preserve"> </w:t>
      </w:r>
      <w:r>
        <w:t xml:space="preserve">All fieldwork, data collection, and on-site consultations shall be conducted within the United States Miami metropolitan area and its immediate surrounding regions. Travel beyond a fifty-mile radius of downtown Miami will be billed at actual cost plus 15%.</w:t>
      </w:r>
    </w:p>
    <w:p>
      <w:pPr>
        <w:pStyle w:val="BodyText"/>
      </w:pPr>
      <w:r>
        <w:rPr>
          <w:bCs/>
          <w:b/>
        </w:rPr>
        <w:t xml:space="preserve">5. Deliverables:</w:t>
      </w:r>
      <w:r>
        <w:t xml:space="preserve"> </w:t>
      </w:r>
      <w:r>
        <w:t xml:space="preserve">The Economist shall submit monthly progress reports, quarterly comprehensive analytical reports, and an annual strategic economic outlook document. All deliverables shall be provided in both digital (PDF) and printed formats.</w:t>
      </w:r>
    </w:p>
    <w:p>
      <w:pPr>
        <w:pStyle w:val="BodyText"/>
      </w:pPr>
      <w:r>
        <w:rPr>
          <w:bCs/>
          <w:b/>
        </w:rPr>
        <w:t xml:space="preserve">6. Confidentiality:</w:t>
      </w:r>
      <w:r>
        <w:t xml:space="preserve"> </w:t>
      </w:r>
      <w:r>
        <w:t xml:space="preserve">All data, findings, and proprietary information exchanged under this Quotation Estimate shall be treated as strictly confidential. The Economist shall execute a Non-Disclosure Agreement (NDA) prior to commencing any work in the United States Miami region.</w:t>
      </w:r>
    </w:p>
    <w:p>
      <w:pPr>
        <w:pStyle w:val="BodyText"/>
      </w:pPr>
      <w:r>
        <w:rPr>
          <w:bCs/>
          <w:b/>
        </w:rPr>
        <w:t xml:space="preserve">7. Cancellation:</w:t>
      </w:r>
      <w:r>
        <w:t xml:space="preserve"> </w:t>
      </w:r>
      <w:r>
        <w:t xml:space="preserve">Either party may terminate this engagement with sixty (60) days written notice. In the event of early termination, the client shall be liable for all services rendered up to the termination date plus a 10% administrative fee.</w:t>
      </w:r>
    </w:p>
    <w:p>
      <w:pPr>
        <w:pStyle w:val="BodyText"/>
      </w:pPr>
      <w:r>
        <w:rPr>
          <w:bCs/>
          <w:b/>
        </w:rPr>
        <w:t xml:space="preserve">8. Governing Law:</w:t>
      </w:r>
      <w:r>
        <w:t xml:space="preserve"> </w:t>
      </w:r>
      <w:r>
        <w:t xml:space="preserve">This Quotation Estimate shall be governed by and construed in accordance with the laws of the State of Florida, United States. Any disputes shall be resolved through binding arbitration in Miami-Dade County, Florida.</w:t>
      </w:r>
    </w:p>
    <w:p>
      <w:pPr>
        <w:pStyle w:val="BodyText"/>
      </w:pPr>
      <w:r>
        <w:rPr>
          <w:bCs/>
          <w:b/>
        </w:rPr>
        <w:t xml:space="preserve">9. Taxes:</w:t>
      </w:r>
      <w:r>
        <w:t xml:space="preserve"> </w:t>
      </w:r>
      <w:r>
        <w:t xml:space="preserve">All amounts stated in this Quotation Estimate are exclusive of applicable federal, state, and local taxes. Sales tax at the rate of 6.5% (Miami-Dade County) shall be added to each invoice as applicable.</w:t>
      </w:r>
    </w:p>
    <w:p>
      <w:pPr>
        <w:pStyle w:val="BodyText"/>
      </w:pPr>
      <w:r>
        <w:t xml:space="preserve">Acceptance &amp; Authorization</w:t>
      </w:r>
    </w:p>
    <w:p>
      <w:pPr>
        <w:pStyle w:val="BodyText"/>
      </w:pPr>
      <w:r>
        <w:t xml:space="preserve">By signing below, the client acknowledges receipt of this Quotation Estimate and authorizes Meridian Economic Consulting Group to proceed with the engagement of the specified Economist for the services described herein in the United States Miami area. This signature constitutes full acceptance of all terms, conditions, rates, and scope of work outlined in this document.</w:t>
      </w:r>
    </w:p>
    <w:p>
      <w:pPr>
        <w:pStyle w:val="BodyText"/>
      </w:pPr>
      <w:r>
        <w:rPr>
          <w:bCs/>
          <w:b/>
        </w:rPr>
        <w:t xml:space="preserve">For: Meridian Economic Consulting Group</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Dr. Marcus A. Thornton, Principal Economist</w:t>
      </w:r>
    </w:p>
    <w:p>
      <w:pPr>
        <w:pStyle w:val="BodyText"/>
      </w:pPr>
      <w:r>
        <w:rPr>
          <w:bCs/>
          <w:b/>
        </w:rPr>
        <w:t xml:space="preserve">Date:</w:t>
      </w:r>
      <w:r>
        <w:t xml:space="preserve"> </w:t>
      </w:r>
      <w:r>
        <w:t xml:space="preserve">___________________________</w:t>
      </w:r>
    </w:p>
    <w:p>
      <w:pPr>
        <w:pStyle w:val="BodyText"/>
      </w:pPr>
      <w:r>
        <w:rPr>
          <w:bCs/>
          <w:b/>
        </w:rPr>
        <w:t xml:space="preserve">For: Atlantic Coastal Development Authority</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Dr. Helena Vasquez, Director</w:t>
      </w:r>
    </w:p>
    <w:p>
      <w:pPr>
        <w:pStyle w:val="BodyText"/>
      </w:pPr>
      <w:r>
        <w:rPr>
          <w:bCs/>
          <w:b/>
        </w:rPr>
        <w:t xml:space="preserve">Date:</w:t>
      </w:r>
      <w:r>
        <w:t xml:space="preserve"> </w:t>
      </w:r>
      <w:r>
        <w:t xml:space="preserve">___________________________</w:t>
      </w:r>
    </w:p>
    <w:p>
      <w:pPr>
        <w:pStyle w:val="BodyText"/>
      </w:pPr>
      <w:r>
        <w:t xml:space="preserve">Meridian Economic Consulting Group | 1200 Biscayne Boulevard, Suite 2400, Miami, FL 33132, United States</w:t>
      </w:r>
    </w:p>
    <w:p>
      <w:pPr>
        <w:pStyle w:val="BodyText"/>
      </w:pPr>
      <w:r>
        <w:t xml:space="preserve">This Quotation Estimate (QTE-2025-MIA-0472) is a confidential document intended solely for the named client.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States Miami</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