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Editor</w:t>
      </w:r>
      <w:r>
        <w:t xml:space="preserve"> </w:t>
      </w:r>
      <w:r>
        <w:t xml:space="preserve">Services</w:t>
      </w:r>
      <w:r>
        <w:t xml:space="preserve"> </w:t>
      </w:r>
      <w:r>
        <w:t xml:space="preserve">-</w:t>
      </w:r>
      <w:r>
        <w:t xml:space="preserve"> </w:t>
      </w:r>
      <w:r>
        <w:t xml:space="preserve">Nigeria</w:t>
      </w:r>
      <w:r>
        <w:t xml:space="preserve"> </w:t>
      </w:r>
      <w:r>
        <w:t xml:space="preserve">Abuja</w:t>
      </w:r>
    </w:p>
    <w:bookmarkStart w:id="20" w:name="quotation-estimate"/>
    <w:p>
      <w:pPr>
        <w:pStyle w:val="Heading1"/>
      </w:pPr>
      <w:r>
        <w:t xml:space="preserve">Quotation Estimate</w:t>
      </w:r>
    </w:p>
    <w:p>
      <w:pPr>
        <w:pStyle w:val="FirstParagraph"/>
      </w:pPr>
      <w:r>
        <w:rPr>
          <w:bCs/>
          <w:b/>
        </w:rPr>
        <w:t xml:space="preserve">Professional Editor Services</w:t>
      </w:r>
    </w:p>
    <w:p>
      <w:pPr>
        <w:pStyle w:val="BodyText"/>
      </w:pPr>
      <w:r>
        <w:t xml:space="preserve">Abuja, Nigeria — Federal Capital Territory</w:t>
      </w:r>
    </w:p>
    <w:p>
      <w:pPr>
        <w:pStyle w:val="BodyText"/>
      </w:pPr>
      <w:r>
        <w:t xml:space="preserve">Document Reference: QTE-ABJ-2025-0047</w:t>
      </w:r>
    </w:p>
    <w:bookmarkEnd w:id="20"/>
    <w:p>
      <w:pPr>
        <w:pStyle w:val="BodyText"/>
      </w:pPr>
      <w:r>
        <w:rPr>
          <w:bCs/>
          <w:b/>
        </w:rPr>
        <w:t xml:space="preserve">Date of Issue:</w:t>
      </w:r>
      <w:r>
        <w:t xml:space="preserve"> </w:t>
      </w:r>
      <w:r>
        <w:t xml:space="preserve">15 June 2025</w:t>
      </w:r>
    </w:p>
    <w:p>
      <w:pPr>
        <w:pStyle w:val="BodyText"/>
      </w:pPr>
      <w:r>
        <w:rPr>
          <w:bCs/>
          <w:b/>
        </w:rPr>
        <w:t xml:space="preserve">Quotation Validity:</w:t>
      </w:r>
      <w:r>
        <w:t xml:space="preserve"> </w:t>
      </w:r>
      <w:r>
        <w:t xml:space="preserve">30 Days (15 July 2025)</w:t>
      </w:r>
    </w:p>
    <w:p>
      <w:pPr>
        <w:pStyle w:val="BodyText"/>
      </w:pPr>
      <w:r>
        <w:rPr>
          <w:bCs/>
          <w:b/>
        </w:rPr>
        <w:t xml:space="preserve">Prepared For:</w:t>
      </w:r>
      <w:r>
        <w:t xml:space="preserve"> </w:t>
      </w:r>
      <w:r>
        <w:t xml:space="preserve">Client (See Below)</w:t>
      </w:r>
    </w:p>
    <w:p>
      <w:pPr>
        <w:pStyle w:val="BodyText"/>
      </w:pPr>
      <w:r>
        <w:rPr>
          <w:bCs/>
          <w:b/>
        </w:rPr>
        <w:t xml:space="preserve">Prepared By:</w:t>
      </w:r>
      <w:r>
        <w:t xml:space="preserve"> </w:t>
      </w:r>
      <w:r>
        <w:t xml:space="preserve">Editor Services Division</w:t>
      </w:r>
    </w:p>
    <w:bookmarkStart w:id="21" w:name="client-information"/>
    <w:p>
      <w:pPr>
        <w:pStyle w:val="Heading2"/>
      </w:pPr>
      <w:r>
        <w:t xml:space="preserve">1. Client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Client Name / Organization</w:t>
            </w:r>
          </w:p>
        </w:tc>
        <w:tc>
          <w:tcPr/>
          <w:p>
            <w:pPr>
              <w:pStyle w:val="Compact"/>
              <w:jc w:val="left"/>
            </w:pPr>
            <w:r>
              <w:t xml:space="preserve">[Client Full Name or Company Name]</w:t>
            </w:r>
          </w:p>
        </w:tc>
      </w:tr>
      <w:tr>
        <w:tc>
          <w:tcPr/>
          <w:p>
            <w:pPr>
              <w:pStyle w:val="Compact"/>
              <w:jc w:val="left"/>
            </w:pPr>
            <w:r>
              <w:t xml:space="preserve">Business Address</w:t>
            </w:r>
          </w:p>
        </w:tc>
        <w:tc>
          <w:tcPr/>
          <w:p>
            <w:pPr>
              <w:pStyle w:val="Compact"/>
              <w:jc w:val="left"/>
            </w:pPr>
            <w:r>
              <w:t xml:space="preserve">[Street Address], Wuse II, Abuja, Nigeria</w:t>
            </w:r>
          </w:p>
        </w:tc>
      </w:tr>
      <w:tr>
        <w:tc>
          <w:tcPr/>
          <w:p>
            <w:pPr>
              <w:pStyle w:val="Compact"/>
              <w:jc w:val="left"/>
            </w:pPr>
            <w:r>
              <w:t xml:space="preserve">Contact Person</w:t>
            </w:r>
          </w:p>
        </w:tc>
        <w:tc>
          <w:tcPr/>
          <w:p>
            <w:pPr>
              <w:pStyle w:val="Compact"/>
              <w:jc w:val="left"/>
            </w:pPr>
            <w:r>
              <w:t xml:space="preserve">[Name of Primary Contact]</w:t>
            </w:r>
          </w:p>
        </w:tc>
      </w:tr>
      <w:tr>
        <w:tc>
          <w:tcPr/>
          <w:p>
            <w:pPr>
              <w:pStyle w:val="Compact"/>
              <w:jc w:val="left"/>
            </w:pPr>
            <w:r>
              <w:t xml:space="preserve">Email Address</w:t>
            </w:r>
          </w:p>
        </w:tc>
        <w:tc>
          <w:tcPr/>
          <w:p>
            <w:pPr>
              <w:pStyle w:val="Compact"/>
              <w:jc w:val="left"/>
            </w:pPr>
            <w:r>
              <w:t xml:space="preserve">[client.email@example.com]</w:t>
            </w:r>
          </w:p>
        </w:tc>
      </w:tr>
      <w:tr>
        <w:tc>
          <w:tcPr/>
          <w:p>
            <w:pPr>
              <w:pStyle w:val="Compact"/>
              <w:jc w:val="left"/>
            </w:pPr>
            <w:r>
              <w:t xml:space="preserve">Telephone</w:t>
            </w:r>
          </w:p>
        </w:tc>
        <w:tc>
          <w:tcPr/>
          <w:p>
            <w:pPr>
              <w:pStyle w:val="Compact"/>
              <w:jc w:val="left"/>
            </w:pPr>
            <w:r>
              <w:t xml:space="preserve">+234 [XXX] XXX XXXX</w:t>
            </w:r>
          </w:p>
        </w:tc>
      </w:tr>
      <w:tr>
        <w:tc>
          <w:tcPr/>
          <w:p>
            <w:pPr>
              <w:pStyle w:val="Compact"/>
              <w:jc w:val="left"/>
            </w:pPr>
            <w:r>
              <w:t xml:space="preserve">Project Location</w:t>
            </w:r>
          </w:p>
        </w:tc>
        <w:tc>
          <w:tcPr/>
          <w:p>
            <w:pPr>
              <w:pStyle w:val="Compact"/>
              <w:jc w:val="left"/>
            </w:pPr>
            <w:r>
              <w:t xml:space="preserve">Abuja, Nigeria — On-site and Remote Hybrid</w:t>
            </w:r>
          </w:p>
        </w:tc>
      </w:tr>
    </w:tbl>
    <w:bookmarkEnd w:id="21"/>
    <w:bookmarkStart w:id="22" w:name="scope-of-editor-services"/>
    <w:p>
      <w:pPr>
        <w:pStyle w:val="Heading2"/>
      </w:pPr>
      <w:r>
        <w:t xml:space="preserve">2. Scope of Editor Services</w:t>
      </w:r>
    </w:p>
    <w:p>
      <w:pPr>
        <w:pStyle w:val="FirstParagraph"/>
      </w:pPr>
      <w:r>
        <w:t xml:space="preserve">This</w:t>
      </w:r>
      <w:r>
        <w:t xml:space="preserve"> </w:t>
      </w:r>
      <w:r>
        <w:t xml:space="preserve">Quotation Estimate</w:t>
      </w:r>
      <w:r>
        <w:t xml:space="preserve"> </w:t>
      </w:r>
      <w:r>
        <w:t xml:space="preserve">is issued to provide a comprehensive and transparent breakdown of costs for the engagement of a professional</w:t>
      </w:r>
      <w:r>
        <w:t xml:space="preserve"> </w:t>
      </w:r>
      <w:r>
        <w:t xml:space="preserve">Editor</w:t>
      </w:r>
      <w:r>
        <w:t xml:space="preserve"> </w:t>
      </w:r>
      <w:r>
        <w:t xml:space="preserve">to deliver editorial, content, and post-production services within the</w:t>
      </w:r>
      <w:r>
        <w:t xml:space="preserve"> </w:t>
      </w:r>
      <w:r>
        <w:t xml:space="preserve">Nigeria Abuja</w:t>
      </w:r>
      <w:r>
        <w:t xml:space="preserve"> </w:t>
      </w:r>
      <w:r>
        <w:t xml:space="preserve">metropolitan area and its surrounding Federal Capital Territory. The Editor will be responsible for the full lifecycle of content refinement, including but not limited to copy editing, structural editing, video post-production, audio mixing, and final quality assurance. All deliverables will be tailored to meet the specific branding, compliance, and distribution requirements of the client operating in the Abuja business environment.</w:t>
      </w:r>
    </w:p>
    <w:p>
      <w:pPr>
        <w:pStyle w:val="BodyText"/>
      </w:pPr>
      <w:r>
        <w:t xml:space="preserve">The Editor engaged under this Quotation Estimate will operate primarily from a dedicated workspace in the Maitama district of Abuja, Nigeria, with the flexibility to conduct on-site sessions at the client's premises in Wuse, Garki, or any other designated location within the FCT. Remote collaboration tools will be utilized for asynchronous review cycles to ensure timely turnaround without compromising the quality of editorial output.</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Service Description</w:t>
            </w:r>
          </w:p>
        </w:tc>
        <w:tc>
          <w:tcPr/>
          <w:p>
            <w:pPr>
              <w:pStyle w:val="Compact"/>
              <w:jc w:val="left"/>
            </w:pPr>
            <w:r>
              <w:t xml:space="preserve">Duration / Volume</w:t>
            </w:r>
          </w:p>
        </w:tc>
        <w:tc>
          <w:tcPr/>
          <w:p>
            <w:pPr>
              <w:pStyle w:val="Compact"/>
              <w:jc w:val="left"/>
            </w:pPr>
            <w:r>
              <w:t xml:space="preserve">Unit Rate (NGN)</w:t>
            </w:r>
          </w:p>
        </w:tc>
        <w:tc>
          <w:tcPr/>
          <w:p>
            <w:pPr>
              <w:pStyle w:val="Compact"/>
              <w:jc w:val="left"/>
            </w:pPr>
            <w:r>
              <w:t xml:space="preserve">Total (NGN)</w:t>
            </w:r>
          </w:p>
        </w:tc>
      </w:tr>
      <w:tr>
        <w:tc>
          <w:tcPr/>
          <w:p>
            <w:pPr>
              <w:pStyle w:val="Compact"/>
              <w:jc w:val="left"/>
            </w:pPr>
            <w:r>
              <w:t xml:space="preserve">01</w:t>
            </w:r>
          </w:p>
        </w:tc>
        <w:tc>
          <w:tcPr/>
          <w:p>
            <w:pPr>
              <w:pStyle w:val="Compact"/>
              <w:jc w:val="left"/>
            </w:pPr>
            <w:r>
              <w:t xml:space="preserve">Senior Editor — Copy &amp; Structural Editing of written content (reports, proposals, marketing materials)</w:t>
            </w:r>
          </w:p>
        </w:tc>
        <w:tc>
          <w:tcPr/>
          <w:p>
            <w:pPr>
              <w:pStyle w:val="Compact"/>
              <w:jc w:val="left"/>
            </w:pPr>
            <w:r>
              <w:t xml:space="preserve">40 hours / month</w:t>
            </w:r>
          </w:p>
        </w:tc>
        <w:tc>
          <w:tcPr/>
          <w:p>
            <w:pPr>
              <w:pStyle w:val="Compact"/>
              <w:jc w:val="left"/>
            </w:pPr>
            <w:r>
              <w:t xml:space="preserve">15,000</w:t>
            </w:r>
          </w:p>
        </w:tc>
        <w:tc>
          <w:tcPr/>
          <w:p>
            <w:pPr>
              <w:pStyle w:val="Compact"/>
              <w:jc w:val="left"/>
            </w:pPr>
            <w:r>
              <w:t xml:space="preserve">600,000</w:t>
            </w:r>
          </w:p>
        </w:tc>
      </w:tr>
      <w:tr>
        <w:tc>
          <w:tcPr/>
          <w:p>
            <w:pPr>
              <w:pStyle w:val="Compact"/>
              <w:jc w:val="left"/>
            </w:pPr>
            <w:r>
              <w:t xml:space="preserve">02</w:t>
            </w:r>
          </w:p>
        </w:tc>
        <w:tc>
          <w:tcPr/>
          <w:p>
            <w:pPr>
              <w:pStyle w:val="Compact"/>
              <w:jc w:val="left"/>
            </w:pPr>
            <w:r>
              <w:t xml:space="preserve">Video Editor — Post-production, colour grading, and final render of corporate video content</w:t>
            </w:r>
          </w:p>
        </w:tc>
        <w:tc>
          <w:tcPr/>
          <w:p>
            <w:pPr>
              <w:pStyle w:val="Compact"/>
              <w:jc w:val="left"/>
            </w:pPr>
            <w:r>
              <w:t xml:space="preserve">6 video deliverables</w:t>
            </w:r>
          </w:p>
        </w:tc>
        <w:tc>
          <w:tcPr/>
          <w:p>
            <w:pPr>
              <w:pStyle w:val="Compact"/>
              <w:jc w:val="left"/>
            </w:pPr>
            <w:r>
              <w:t xml:space="preserve">250,000</w:t>
            </w:r>
          </w:p>
        </w:tc>
        <w:tc>
          <w:tcPr/>
          <w:p>
            <w:pPr>
              <w:pStyle w:val="Compact"/>
              <w:jc w:val="left"/>
            </w:pPr>
            <w:r>
              <w:t xml:space="preserve">1,500,000</w:t>
            </w:r>
          </w:p>
        </w:tc>
      </w:tr>
      <w:tr>
        <w:tc>
          <w:tcPr/>
          <w:p>
            <w:pPr>
              <w:pStyle w:val="Compact"/>
              <w:jc w:val="left"/>
            </w:pPr>
            <w:r>
              <w:t xml:space="preserve">03</w:t>
            </w:r>
          </w:p>
        </w:tc>
        <w:tc>
          <w:tcPr/>
          <w:p>
            <w:pPr>
              <w:pStyle w:val="Compact"/>
              <w:jc w:val="left"/>
            </w:pPr>
            <w:r>
              <w:t xml:space="preserve">Audio Editor — Sound design, noise reduction, and voice-over mixing</w:t>
            </w:r>
          </w:p>
        </w:tc>
        <w:tc>
          <w:tcPr/>
          <w:p>
            <w:pPr>
              <w:pStyle w:val="Compact"/>
              <w:jc w:val="left"/>
            </w:pPr>
            <w:r>
              <w:t xml:space="preserve">12 hours</w:t>
            </w:r>
          </w:p>
        </w:tc>
        <w:tc>
          <w:tcPr/>
          <w:p>
            <w:pPr>
              <w:pStyle w:val="Compact"/>
              <w:jc w:val="left"/>
            </w:pPr>
            <w:r>
              <w:t xml:space="preserve">12,000</w:t>
            </w:r>
          </w:p>
        </w:tc>
        <w:tc>
          <w:tcPr/>
          <w:p>
            <w:pPr>
              <w:pStyle w:val="Compact"/>
              <w:jc w:val="left"/>
            </w:pPr>
            <w:r>
              <w:t xml:space="preserve">144,000</w:t>
            </w:r>
          </w:p>
        </w:tc>
      </w:tr>
      <w:tr>
        <w:tc>
          <w:tcPr/>
          <w:p>
            <w:pPr>
              <w:pStyle w:val="Compact"/>
              <w:jc w:val="left"/>
            </w:pPr>
            <w:r>
              <w:t xml:space="preserve">04</w:t>
            </w:r>
          </w:p>
        </w:tc>
        <w:tc>
          <w:tcPr/>
          <w:p>
            <w:pPr>
              <w:pStyle w:val="Compact"/>
              <w:jc w:val="left"/>
            </w:pPr>
            <w:r>
              <w:t xml:space="preserve">Editorial Project Management — Scheduling, client liaison, and revision coordination in Abuja</w:t>
            </w:r>
          </w:p>
        </w:tc>
        <w:tc>
          <w:tcPr/>
          <w:p>
            <w:pPr>
              <w:pStyle w:val="Compact"/>
              <w:jc w:val="left"/>
            </w:pPr>
            <w:r>
              <w:t xml:space="preserve">3 months</w:t>
            </w:r>
          </w:p>
        </w:tc>
        <w:tc>
          <w:tcPr/>
          <w:p>
            <w:pPr>
              <w:pStyle w:val="Compact"/>
              <w:jc w:val="left"/>
            </w:pPr>
            <w:r>
              <w:t xml:space="preserve">180,000</w:t>
            </w:r>
          </w:p>
        </w:tc>
        <w:tc>
          <w:tcPr/>
          <w:p>
            <w:pPr>
              <w:pStyle w:val="Compact"/>
              <w:jc w:val="left"/>
            </w:pPr>
            <w:r>
              <w:t xml:space="preserve">540,000</w:t>
            </w:r>
          </w:p>
        </w:tc>
      </w:tr>
      <w:tr>
        <w:tc>
          <w:tcPr/>
          <w:p>
            <w:pPr>
              <w:pStyle w:val="Compact"/>
              <w:jc w:val="left"/>
            </w:pPr>
            <w:r>
              <w:t xml:space="preserve">05</w:t>
            </w:r>
          </w:p>
        </w:tc>
        <w:tc>
          <w:tcPr/>
          <w:p>
            <w:pPr>
              <w:pStyle w:val="Compact"/>
              <w:jc w:val="left"/>
            </w:pPr>
            <w:r>
              <w:t xml:space="preserve">On-site Editor Sessions — Travel within Abuja FCT (Wuse, Maitama, Garki, Asokoro)</w:t>
            </w:r>
          </w:p>
        </w:tc>
        <w:tc>
          <w:tcPr/>
          <w:p>
            <w:pPr>
              <w:pStyle w:val="Compact"/>
              <w:jc w:val="left"/>
            </w:pPr>
            <w:r>
              <w:t xml:space="preserve">8 sessions</w:t>
            </w:r>
          </w:p>
        </w:tc>
        <w:tc>
          <w:tcPr/>
          <w:p>
            <w:pPr>
              <w:pStyle w:val="Compact"/>
              <w:jc w:val="left"/>
            </w:pPr>
            <w:r>
              <w:t xml:space="preserve">25,000</w:t>
            </w:r>
          </w:p>
        </w:tc>
        <w:tc>
          <w:tcPr/>
          <w:p>
            <w:pPr>
              <w:pStyle w:val="Compact"/>
              <w:jc w:val="left"/>
            </w:pPr>
            <w:r>
              <w:t xml:space="preserve">200,000</w:t>
            </w:r>
          </w:p>
        </w:tc>
      </w:tr>
      <w:tr>
        <w:tc>
          <w:tcPr/>
          <w:p>
            <w:pPr>
              <w:pStyle w:val="Compact"/>
              <w:jc w:val="left"/>
            </w:pPr>
            <w:r>
              <w:t xml:space="preserve">06</w:t>
            </w:r>
          </w:p>
        </w:tc>
        <w:tc>
          <w:tcPr/>
          <w:p>
            <w:pPr>
              <w:pStyle w:val="Compact"/>
              <w:jc w:val="left"/>
            </w:pPr>
            <w:r>
              <w:t xml:space="preserve">Software &amp; Licensing Fees — Adobe Creative Suite, DaVinci Resolve, and cloud storage</w:t>
            </w:r>
          </w:p>
        </w:tc>
        <w:tc>
          <w:tcPr/>
          <w:p>
            <w:pPr>
              <w:pStyle w:val="Compact"/>
              <w:jc w:val="left"/>
            </w:pPr>
            <w:r>
              <w:t xml:space="preserve">3 months</w:t>
            </w:r>
          </w:p>
        </w:tc>
        <w:tc>
          <w:tcPr/>
          <w:p>
            <w:pPr>
              <w:pStyle w:val="Compact"/>
              <w:jc w:val="left"/>
            </w:pPr>
            <w:r>
              <w:t xml:space="preserve">95,000</w:t>
            </w:r>
          </w:p>
        </w:tc>
        <w:tc>
          <w:tcPr/>
          <w:p>
            <w:pPr>
              <w:pStyle w:val="Compact"/>
              <w:jc w:val="left"/>
            </w:pPr>
            <w:r>
              <w:t xml:space="preserve">285,000</w:t>
            </w:r>
          </w:p>
        </w:tc>
      </w:tr>
      <w:tr>
        <w:tc>
          <w:tcPr/>
          <w:p>
            <w:pPr>
              <w:pStyle w:val="Compact"/>
              <w:jc w:val="left"/>
            </w:pPr>
            <w:r>
              <w:t xml:space="preserve">07</w:t>
            </w:r>
          </w:p>
        </w:tc>
        <w:tc>
          <w:tcPr/>
          <w:p>
            <w:pPr>
              <w:pStyle w:val="Compact"/>
              <w:jc w:val="left"/>
            </w:pPr>
            <w:r>
              <w:t xml:space="preserve">Quality Assurance &amp; Final Proofreading Pass</w:t>
            </w:r>
          </w:p>
        </w:tc>
        <w:tc>
          <w:tcPr/>
          <w:p>
            <w:pPr>
              <w:pStyle w:val="Compact"/>
              <w:jc w:val="left"/>
            </w:pPr>
            <w:r>
              <w:t xml:space="preserve">All deliverables</w:t>
            </w:r>
          </w:p>
        </w:tc>
        <w:tc>
          <w:tcPr/>
          <w:p>
            <w:pPr>
              <w:pStyle w:val="Compact"/>
              <w:jc w:val="left"/>
            </w:pPr>
            <w:r>
              <w:t xml:space="preserve">Flat</w:t>
            </w:r>
          </w:p>
        </w:tc>
        <w:tc>
          <w:tcPr/>
          <w:p>
            <w:pPr>
              <w:pStyle w:val="Compact"/>
              <w:jc w:val="left"/>
            </w:pPr>
            <w:r>
              <w:t xml:space="preserve">150,000</w:t>
            </w:r>
          </w:p>
        </w:tc>
      </w:tr>
      <w:tr>
        <w:tc>
          <w:tcPr>
            <w:gridSpan w:val="4"/>
          </w:tcPr>
          <w:p>
            <w:pPr>
              <w:pStyle w:val="Compact"/>
              <w:jc w:val="left"/>
            </w:pPr>
            <w:r>
              <w:t xml:space="preserve">Subtotal (NGN)</w:t>
            </w:r>
          </w:p>
        </w:tc>
        <w:tc>
          <w:tcPr/>
          <w:p>
            <w:pPr>
              <w:pStyle w:val="Compact"/>
              <w:jc w:val="left"/>
            </w:pPr>
            <w:r>
              <w:t xml:space="preserve">3,419,000</w:t>
            </w:r>
          </w:p>
        </w:tc>
      </w:tr>
      <w:tr>
        <w:tc>
          <w:tcPr>
            <w:gridSpan w:val="4"/>
          </w:tcPr>
          <w:p>
            <w:pPr>
              <w:pStyle w:val="Compact"/>
              <w:jc w:val="left"/>
            </w:pPr>
            <w:r>
              <w:t xml:space="preserve">VAT (7.5% — Nigeria Standard)</w:t>
            </w:r>
          </w:p>
        </w:tc>
        <w:tc>
          <w:tcPr/>
          <w:p>
            <w:pPr>
              <w:pStyle w:val="Compact"/>
              <w:jc w:val="left"/>
            </w:pPr>
            <w:r>
              <w:t xml:space="preserve">256,425</w:t>
            </w:r>
          </w:p>
        </w:tc>
      </w:tr>
      <w:tr>
        <w:tc>
          <w:tcPr>
            <w:gridSpan w:val="4"/>
          </w:tcPr>
          <w:p>
            <w:pPr>
              <w:pStyle w:val="Compact"/>
              <w:jc w:val="left"/>
            </w:pPr>
            <w:r>
              <w:rPr>
                <w:bCs/>
                <w:b/>
              </w:rPr>
              <w:t xml:space="preserve">Grand Total (NGN)</w:t>
            </w:r>
          </w:p>
        </w:tc>
        <w:tc>
          <w:tcPr/>
          <w:p>
            <w:pPr>
              <w:pStyle w:val="Compact"/>
              <w:jc w:val="left"/>
            </w:pPr>
            <w:r>
              <w:rPr>
                <w:bCs/>
                <w:b/>
              </w:rPr>
              <w:t xml:space="preserve">3,675,425</w:t>
            </w:r>
          </w:p>
        </w:tc>
      </w:tr>
    </w:tbl>
    <w:p>
      <w:pPr>
        <w:pStyle w:val="BodyText"/>
      </w:pPr>
      <w:r>
        <w:rPr>
          <w:bCs/>
          <w:b/>
        </w:rPr>
        <w:t xml:space="preserve">Note:</w:t>
      </w:r>
      <w:r>
        <w:t xml:space="preserve"> </w:t>
      </w:r>
      <w:r>
        <w:t xml:space="preserve">All monetary values in this Quotation Estimate are expressed in Nigerian Naira (NGN). Exchange rate fluctuations do not apply as all services are rendered domestically within Nigeria Abuja. Payment in USD or GBP may be arranged upon mutual agreement at the Central Bank of Nigeria (CBN) prevailing rate on the date of invoicing.</w:t>
      </w:r>
    </w:p>
    <w:bookmarkEnd w:id="23"/>
    <w:bookmarkStart w:id="24" w:name="terms-and-conditions"/>
    <w:p>
      <w:pPr>
        <w:pStyle w:val="Heading2"/>
      </w:pPr>
      <w:r>
        <w:t xml:space="preserve">4. Terms and Conditions</w:t>
      </w:r>
    </w:p>
    <w:p>
      <w:pPr>
        <w:numPr>
          <w:ilvl w:val="0"/>
          <w:numId w:val="1001"/>
        </w:numPr>
        <w:pStyle w:val="Compact"/>
      </w:pPr>
      <w:r>
        <w:t xml:space="preserve">This Quotation Estimate is valid for a period of thirty (30) calendar days from the date of issue. Beyond this period, rates and availability of the Editor may be subject to revision.</w:t>
      </w:r>
    </w:p>
    <w:p>
      <w:pPr>
        <w:numPr>
          <w:ilvl w:val="0"/>
          <w:numId w:val="1001"/>
        </w:numPr>
        <w:pStyle w:val="Compact"/>
      </w:pPr>
      <w:r>
        <w:t xml:space="preserve">Payment terms: 50% advance payment upon acceptance of this Quotation Estimate, and the remaining 50% upon final delivery and client sign-off of all Editor deliverables.</w:t>
      </w:r>
    </w:p>
    <w:p>
      <w:pPr>
        <w:numPr>
          <w:ilvl w:val="0"/>
          <w:numId w:val="1001"/>
        </w:numPr>
        <w:pStyle w:val="Compact"/>
      </w:pPr>
      <w:r>
        <w:t xml:space="preserve">The Editor shall maintain strict confidentiality regarding all client materials, data, and proprietary content handled during the engagement in Nigeria Abuja.</w:t>
      </w:r>
    </w:p>
    <w:p>
      <w:pPr>
        <w:numPr>
          <w:ilvl w:val="0"/>
          <w:numId w:val="1001"/>
        </w:numPr>
        <w:pStyle w:val="Compact"/>
      </w:pPr>
      <w:r>
        <w:t xml:space="preserve">A maximum of two (2) revision rounds are included per deliverable. Additional revisions will be billed at the applicable hourly rate specified in Section 3.</w:t>
      </w:r>
    </w:p>
    <w:p>
      <w:pPr>
        <w:numPr>
          <w:ilvl w:val="0"/>
          <w:numId w:val="1001"/>
        </w:numPr>
        <w:pStyle w:val="Compact"/>
      </w:pPr>
      <w:r>
        <w:t xml:space="preserve">All work products, once fully paid for, shall become the exclusive intellectual property of the client. The Editor retains the right to display anonymized work samples in a professional portfolio.</w:t>
      </w:r>
    </w:p>
    <w:p>
      <w:pPr>
        <w:numPr>
          <w:ilvl w:val="0"/>
          <w:numId w:val="1001"/>
        </w:numPr>
        <w:pStyle w:val="Compact"/>
      </w:pPr>
      <w:r>
        <w:t xml:space="preserve">Force majeure events, including but not limited to power outages, internet disruptions, or government-mandated closures in Abuja, shall extend project timelines proportionally without penalty to either party.</w:t>
      </w:r>
    </w:p>
    <w:p>
      <w:pPr>
        <w:numPr>
          <w:ilvl w:val="0"/>
          <w:numId w:val="1001"/>
        </w:numPr>
        <w:pStyle w:val="Compact"/>
      </w:pPr>
      <w:r>
        <w:t xml:space="preserve">This Quotation Estimate does not constitute a binding contract until formally accepted in writing by both parties via signed copy or electronic acknowledgment.</w:t>
      </w:r>
    </w:p>
    <w:p>
      <w:pPr>
        <w:numPr>
          <w:ilvl w:val="0"/>
          <w:numId w:val="1001"/>
        </w:numPr>
        <w:pStyle w:val="Compact"/>
      </w:pPr>
      <w:r>
        <w:t xml:space="preserve">Disputes arising from this engagement shall be resolved through mediation in Abuja, Nigeria, in accordance with the laws of the Federal Republic of Nigeria.</w:t>
      </w:r>
    </w:p>
    <w:bookmarkEnd w:id="24"/>
    <w:bookmarkStart w:id="25" w:name="project-timeline"/>
    <w:p>
      <w:pPr>
        <w:pStyle w:val="Heading2"/>
      </w:pPr>
      <w:r>
        <w:t xml:space="preserve">5. Project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Milestone</w:t>
            </w:r>
          </w:p>
        </w:tc>
        <w:tc>
          <w:tcPr/>
          <w:p>
            <w:pPr>
              <w:pStyle w:val="Compact"/>
              <w:jc w:val="left"/>
            </w:pPr>
            <w:r>
              <w:t xml:space="preserve">Target Date</w:t>
            </w:r>
          </w:p>
        </w:tc>
        <w:tc>
          <w:tcPr/>
          <w:p>
            <w:pPr>
              <w:pStyle w:val="Compact"/>
              <w:jc w:val="left"/>
            </w:pPr>
            <w:r>
              <w:t xml:space="preserve">Deliverable</w:t>
            </w:r>
          </w:p>
        </w:tc>
      </w:tr>
      <w:tr>
        <w:tc>
          <w:tcPr/>
          <w:p>
            <w:pPr>
              <w:pStyle w:val="Compact"/>
              <w:jc w:val="left"/>
            </w:pPr>
            <w:r>
              <w:t xml:space="preserve">Project Kick-off &amp; Briefing</w:t>
            </w:r>
          </w:p>
        </w:tc>
        <w:tc>
          <w:tcPr/>
          <w:p>
            <w:pPr>
              <w:pStyle w:val="Compact"/>
              <w:jc w:val="left"/>
            </w:pPr>
            <w:r>
              <w:t xml:space="preserve">20 June 2025</w:t>
            </w:r>
          </w:p>
        </w:tc>
        <w:tc>
          <w:tcPr/>
          <w:p>
            <w:pPr>
              <w:pStyle w:val="Compact"/>
              <w:jc w:val="left"/>
            </w:pPr>
            <w:r>
              <w:t xml:space="preserve">Editorial style guide &amp; content calendar</w:t>
            </w:r>
          </w:p>
        </w:tc>
      </w:tr>
      <w:tr>
        <w:tc>
          <w:tcPr/>
          <w:p>
            <w:pPr>
              <w:pStyle w:val="Compact"/>
              <w:jc w:val="left"/>
            </w:pPr>
            <w:r>
              <w:t xml:space="preserve">First Deliverable Batch</w:t>
            </w:r>
          </w:p>
        </w:tc>
        <w:tc>
          <w:tcPr/>
          <w:p>
            <w:pPr>
              <w:pStyle w:val="Compact"/>
              <w:jc w:val="left"/>
            </w:pPr>
            <w:r>
              <w:t xml:space="preserve">15 July 2025</w:t>
            </w:r>
          </w:p>
        </w:tc>
        <w:tc>
          <w:tcPr/>
          <w:p>
            <w:pPr>
              <w:pStyle w:val="Compact"/>
              <w:jc w:val="left"/>
            </w:pPr>
            <w:r>
              <w:t xml:space="preserve">3 edited documents + 2 video edits</w:t>
            </w:r>
          </w:p>
        </w:tc>
      </w:tr>
      <w:tr>
        <w:tc>
          <w:tcPr/>
          <w:p>
            <w:pPr>
              <w:pStyle w:val="Compact"/>
              <w:jc w:val="left"/>
            </w:pPr>
            <w:r>
              <w:t xml:space="preserve">Mid-Project Review</w:t>
            </w:r>
          </w:p>
        </w:tc>
        <w:tc>
          <w:tcPr/>
          <w:p>
            <w:pPr>
              <w:pStyle w:val="Compact"/>
              <w:jc w:val="left"/>
            </w:pPr>
            <w:r>
              <w:t xml:space="preserve">15 August 2025</w:t>
            </w:r>
          </w:p>
        </w:tc>
        <w:tc>
          <w:tcPr/>
          <w:p>
            <w:pPr>
              <w:pStyle w:val="Compact"/>
              <w:jc w:val="left"/>
            </w:pPr>
            <w:r>
              <w:t xml:space="preserve">Progress report &amp; feedback session</w:t>
            </w:r>
          </w:p>
        </w:tc>
      </w:tr>
      <w:tr>
        <w:tc>
          <w:tcPr/>
          <w:p>
            <w:pPr>
              <w:pStyle w:val="Compact"/>
              <w:jc w:val="left"/>
            </w:pPr>
            <w:r>
              <w:t xml:space="preserve">Final Delivery &amp; Handover</w:t>
            </w:r>
          </w:p>
        </w:tc>
        <w:tc>
          <w:tcPr/>
          <w:p>
            <w:pPr>
              <w:pStyle w:val="Compact"/>
              <w:jc w:val="left"/>
            </w:pPr>
            <w:r>
              <w:t xml:space="preserve">15 September 2025</w:t>
            </w:r>
          </w:p>
        </w:tc>
        <w:tc>
          <w:tcPr/>
          <w:p>
            <w:pPr>
              <w:pStyle w:val="Compact"/>
              <w:jc w:val="left"/>
            </w:pPr>
            <w:r>
              <w:t xml:space="preserve">All remaining deliverables + source files</w:t>
            </w:r>
          </w:p>
        </w:tc>
      </w:tr>
    </w:tbl>
    <w:bookmarkEnd w:id="25"/>
    <w:bookmarkStart w:id="26" w:name="acceptance-and-authorization"/>
    <w:p>
      <w:pPr>
        <w:pStyle w:val="Heading2"/>
      </w:pPr>
      <w:r>
        <w:t xml:space="preserve">6.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for</w:t>
      </w:r>
      <w:r>
        <w:t xml:space="preserve"> </w:t>
      </w:r>
      <w:r>
        <w:t xml:space="preserve">Editor</w:t>
      </w:r>
      <w:r>
        <w:t xml:space="preserve"> </w:t>
      </w:r>
      <w:r>
        <w:t xml:space="preserve">services in</w:t>
      </w:r>
      <w:r>
        <w:t xml:space="preserve"> </w:t>
      </w:r>
      <w:r>
        <w:t xml:space="preserve">Nigeria Abuja</w:t>
      </w:r>
      <w:r>
        <w:t xml:space="preserve"> </w:t>
      </w:r>
      <w:r>
        <w:t xml:space="preserve">and agrees to the terms, conditions, and pricing outlined herein. This acceptance authorizes the Editor to commence work in accordance with the project timeline specified in Section 5.</w:t>
      </w:r>
    </w:p>
    <w:p>
      <w:pPr>
        <w:pStyle w:val="BodyText"/>
      </w:pPr>
      <w:r>
        <w:rPr>
          <w:bCs/>
          <w:b/>
        </w:rPr>
        <w:t xml:space="preserve">Client Representative</w:t>
      </w:r>
      <w:r>
        <w:br/>
      </w:r>
      <w:r>
        <w:t xml:space="preserve">Name: _________________________</w:t>
      </w:r>
      <w:r>
        <w:br/>
      </w:r>
      <w:r>
        <w:t xml:space="preserve">Title: _________________________</w:t>
      </w:r>
      <w:r>
        <w:br/>
      </w:r>
      <w:r>
        <w:t xml:space="preserve">Date: _________________________</w:t>
      </w:r>
    </w:p>
    <w:p>
      <w:pPr>
        <w:pStyle w:val="BodyText"/>
      </w:pPr>
      <w:r>
        <w:rPr>
          <w:bCs/>
          <w:b/>
        </w:rPr>
        <w:t xml:space="preserve">Editor / Service Provider</w:t>
      </w:r>
      <w:r>
        <w:br/>
      </w:r>
      <w:r>
        <w:t xml:space="preserve">Name: _________________________</w:t>
      </w:r>
      <w:r>
        <w:br/>
      </w:r>
      <w:r>
        <w:t xml:space="preserve">Title: _________________________</w:t>
      </w:r>
      <w:r>
        <w:br/>
      </w:r>
      <w:r>
        <w:t xml:space="preserve">Date: _________________________</w:t>
      </w:r>
    </w:p>
    <w:p>
      <w:pPr>
        <w:pStyle w:val="BodyText"/>
      </w:pPr>
      <w:r>
        <w:rPr>
          <w:bCs/>
          <w:b/>
        </w:rPr>
        <w:t xml:space="preserve">Quotation Estimate</w:t>
      </w:r>
      <w:r>
        <w:t xml:space="preserve"> </w:t>
      </w:r>
      <w:r>
        <w:t xml:space="preserve">| Editor Services | Nigeria Abuja, Federal Capital Territory</w:t>
      </w:r>
    </w:p>
    <w:p>
      <w:pPr>
        <w:pStyle w:val="BodyText"/>
      </w:pPr>
      <w:r>
        <w:t xml:space="preserve">Document Ref: QTE-ABJ-2025-0047 | Page 1 of 1</w:t>
      </w:r>
    </w:p>
    <w:p>
      <w:pPr>
        <w:pStyle w:val="BodyText"/>
      </w:pPr>
      <w:r>
        <w:t xml:space="preserve">This document is generated electronically and is valid without a physical stamp. For inquiries, contact the Editor Services Division at +234 (0) 900 000 0000 or editor.abuja@services.ng</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Editor Services - Nigeria Abuja</dc:title>
  <dc:creator/>
  <dc:language>en</dc:language>
  <cp:keywords/>
  <dcterms:created xsi:type="dcterms:W3CDTF">2026-10-10T02:23:22Z</dcterms:created>
  <dcterms:modified xsi:type="dcterms:W3CDTF">2026-10-10T02:23:22Z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