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quotation-estimate"/>
    <w:p>
      <w:pPr>
        <w:pStyle w:val="Heading1"/>
      </w:pPr>
      <w:r>
        <w:t xml:space="preserve">Quotation Estimate</w:t>
      </w:r>
    </w:p>
    <w:p>
      <w:pPr>
        <w:pStyle w:val="FirstParagraph"/>
      </w:pPr>
      <w:r>
        <w:t xml:space="preserve">Professional Editor Services for Saudi Arabia Riyadh</w:t>
      </w:r>
    </w:p>
    <w:p>
      <w:pPr>
        <w:pStyle w:val="BodyText"/>
      </w:pPr>
      <w:r>
        <w:t xml:space="preserve">Al-Riyadh Media Solutions LLC | King Fahd Road, Al Olaya District, Riyadh 12212, Saudi Arabia</w:t>
      </w:r>
    </w:p>
    <w:p>
      <w:pPr>
        <w:pStyle w:val="BodyText"/>
      </w:pPr>
      <w:r>
        <w:t xml:space="preserve">CR: 1010XXXXXX | VAT: 310XXXXXXX00003 | Tel: +966 11 XXX XXXX | Email: quotations@alriyadhmedia.sa</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QTE-2025-0472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(until 15 July 2025)</w:t>
            </w:r>
          </w:p>
        </w:tc>
        <w:tc>
          <w:tcPr/>
          <w:p>
            <w:pPr>
              <w:pStyle w:val="Compact"/>
              <w:jc w:val="left"/>
            </w:pPr>
            <w:r>
              <w:t xml:space="preserve">Currency</w:t>
            </w:r>
          </w:p>
        </w:tc>
        <w:tc>
          <w:tcPr/>
          <w:p>
            <w:pPr>
              <w:pStyle w:val="Compact"/>
              <w:jc w:val="left"/>
            </w:pPr>
            <w:r>
              <w:t xml:space="preserve">Saudi Riyal (SAR)</w:t>
            </w:r>
          </w:p>
        </w:tc>
      </w:tr>
      <w:tr>
        <w:tc>
          <w:tcPr/>
          <w:p>
            <w:pPr>
              <w:pStyle w:val="Compact"/>
              <w:jc w:val="left"/>
            </w:pPr>
            <w:r>
              <w:t xml:space="preserve">Client Name</w:t>
            </w:r>
          </w:p>
        </w:tc>
        <w:tc>
          <w:tcPr/>
          <w:p>
            <w:pPr>
              <w:pStyle w:val="Compact"/>
              <w:jc w:val="left"/>
            </w:pPr>
            <w:r>
              <w:t xml:space="preserve">Al-Nakheel Group of Companies</w:t>
            </w:r>
          </w:p>
        </w:tc>
        <w:tc>
          <w:tcPr/>
          <w:p>
            <w:pPr>
              <w:pStyle w:val="Compact"/>
              <w:jc w:val="left"/>
            </w:pPr>
            <w:r>
              <w:t xml:space="preserve">Client Address</w:t>
            </w:r>
          </w:p>
        </w:tc>
        <w:tc>
          <w:tcPr/>
          <w:p>
            <w:pPr>
              <w:pStyle w:val="Compact"/>
              <w:jc w:val="left"/>
            </w:pPr>
            <w:r>
              <w:t xml:space="preserve">King Abdullah Financial District (KAFD), Riyadh, Saudi Arabia</w:t>
            </w:r>
          </w:p>
        </w:tc>
      </w:tr>
      <w:tr>
        <w:tc>
          <w:tcPr/>
          <w:p>
            <w:pPr>
              <w:pStyle w:val="Compact"/>
              <w:jc w:val="left"/>
            </w:pPr>
            <w:r>
              <w:t xml:space="preserve">Project Title</w:t>
            </w:r>
          </w:p>
        </w:tc>
        <w:tc>
          <w:tcPr/>
          <w:p>
            <w:pPr>
              <w:pStyle w:val="Compact"/>
              <w:jc w:val="left"/>
            </w:pPr>
            <w:r>
              <w:t xml:space="preserve">Editor Engagement for Corporate Media Production</w:t>
            </w:r>
          </w:p>
        </w:tc>
        <w:tc>
          <w:tcPr/>
          <w:p>
            <w:pPr>
              <w:pStyle w:val="Compact"/>
              <w:jc w:val="left"/>
            </w:pPr>
            <w:r>
              <w:t xml:space="preserve">Service Location</w:t>
            </w:r>
          </w:p>
        </w:tc>
        <w:tc>
          <w:tcPr/>
          <w:p>
            <w:pPr>
              <w:pStyle w:val="Compact"/>
              <w:jc w:val="left"/>
            </w:pPr>
            <w:r>
              <w:t xml:space="preserve">Riyadh, Saudi Arabia</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Al-Riyadh Media Solutions LLC to Al-Nakheel Group of Companies, based in the King Abdullah Financial District, Riyadh, Saudi Arabia. The purpose of this document is to provide a comprehensive and transparent financial estimate for the engagement of a professional</w:t>
      </w:r>
      <w:r>
        <w:t xml:space="preserve"> </w:t>
      </w:r>
      <w:r>
        <w:t xml:space="preserve">Editor</w:t>
      </w:r>
      <w:r>
        <w:t xml:space="preserve"> </w:t>
      </w:r>
      <w:r>
        <w:t xml:space="preserve">to deliver end-to-end editorial services for the client's upcoming corporate media campaign. All pricing, deliverables, and terms outlined in this</w:t>
      </w:r>
      <w:r>
        <w:t xml:space="preserve"> </w:t>
      </w:r>
      <w:r>
        <w:t xml:space="preserve">Quotation Estimate</w:t>
      </w:r>
      <w:r>
        <w:t xml:space="preserve"> </w:t>
      </w:r>
      <w:r>
        <w:t xml:space="preserve">are specifically tailored to the operational requirements, regulatory environment, and cultural context of</w:t>
      </w:r>
      <w:r>
        <w:t xml:space="preserve"> </w:t>
      </w:r>
      <w:r>
        <w:t xml:space="preserve">Saudi Arabia Riyadh</w:t>
      </w:r>
      <w:r>
        <w:t xml:space="preserve">, ensuring full compliance with local media regulations set forth by the Saudi Communications and Media Commission (CMA) and the General Entertainment Authority (GEA).</w:t>
      </w:r>
    </w:p>
    <w:bookmarkEnd w:id="21"/>
    <w:bookmarkStart w:id="22" w:name="scope-of-work-editor-services"/>
    <w:p>
      <w:pPr>
        <w:pStyle w:val="Heading2"/>
      </w:pPr>
      <w:r>
        <w:t xml:space="preserve">2. Scope of Work – Editor Services</w:t>
      </w:r>
    </w:p>
    <w:p>
      <w:pPr>
        <w:pStyle w:val="FirstParagraph"/>
      </w:pPr>
      <w:r>
        <w:t xml:space="preserve">The</w:t>
      </w:r>
      <w:r>
        <w:t xml:space="preserve"> </w:t>
      </w:r>
      <w:r>
        <w:t xml:space="preserve">Editor</w:t>
      </w:r>
      <w:r>
        <w:t xml:space="preserve"> </w:t>
      </w:r>
      <w:r>
        <w:t xml:space="preserve">engaged under this</w:t>
      </w:r>
      <w:r>
        <w:t xml:space="preserve"> </w:t>
      </w:r>
      <w:r>
        <w:t xml:space="preserve">Quotation Estimate</w:t>
      </w:r>
      <w:r>
        <w:t xml:space="preserve"> </w:t>
      </w:r>
      <w:r>
        <w:t xml:space="preserve">will be a senior-level professional with a minimum of eight (8) years of experience in broadcast and digital media editing, with demonstrated familiarity with content production standards specific to</w:t>
      </w:r>
      <w:r>
        <w:t xml:space="preserve"> </w:t>
      </w:r>
      <w:r>
        <w:t xml:space="preserve">Saudi Arabia Riyadh</w:t>
      </w:r>
      <w:r>
        <w:t xml:space="preserve">. The scope of work includes, but is not limited to, the following deliverables:</w:t>
      </w:r>
    </w:p>
    <w:p>
      <w:pPr>
        <w:numPr>
          <w:ilvl w:val="0"/>
          <w:numId w:val="1001"/>
        </w:numPr>
        <w:pStyle w:val="Compact"/>
      </w:pPr>
      <w:r>
        <w:rPr>
          <w:bCs/>
          <w:b/>
        </w:rPr>
        <w:t xml:space="preserve">Video Editing:</w:t>
      </w:r>
      <w:r>
        <w:t xml:space="preserve"> </w:t>
      </w:r>
      <w:r>
        <w:t xml:space="preserve">Full post-production editing of up to twelve (12) corporate promotional videos (each 2–5 minutes in duration), including multi-cam synchronization, color grading, audio mixing, and motion graphics integration, to be completed within the Riyadh metropolitan area.</w:t>
      </w:r>
    </w:p>
    <w:p>
      <w:pPr>
        <w:numPr>
          <w:ilvl w:val="0"/>
          <w:numId w:val="1001"/>
        </w:numPr>
        <w:pStyle w:val="Compact"/>
      </w:pPr>
      <w:r>
        <w:rPr>
          <w:bCs/>
          <w:b/>
        </w:rPr>
        <w:t xml:space="preserve">Content Editing:</w:t>
      </w:r>
      <w:r>
        <w:t xml:space="preserve"> </w:t>
      </w:r>
      <w:r>
        <w:t xml:space="preserve">Editorial review, restructuring, and finalization of all accompanying written content, press releases, and social media copy in both Arabic and English, ensuring linguistic accuracy and cultural appropriateness for the Saudi Arabian audience in Riyadh.</w:t>
      </w:r>
    </w:p>
    <w:p>
      <w:pPr>
        <w:numPr>
          <w:ilvl w:val="0"/>
          <w:numId w:val="1001"/>
        </w:numPr>
        <w:pStyle w:val="Compact"/>
      </w:pPr>
      <w:r>
        <w:rPr>
          <w:bCs/>
          <w:b/>
        </w:rPr>
        <w:t xml:space="preserve">Subtitling and Localization:</w:t>
      </w:r>
      <w:r>
        <w:t xml:space="preserve"> </w:t>
      </w:r>
      <w:r>
        <w:t xml:space="preserve">Professional Arabic (Modern Standard Arabic and Najdi dialect adaptation) and English subtitling for all video deliverables, aligned with the localization standards mandated for media content distributed within Saudi Arabia.</w:t>
      </w:r>
    </w:p>
    <w:p>
      <w:pPr>
        <w:numPr>
          <w:ilvl w:val="0"/>
          <w:numId w:val="1001"/>
        </w:numPr>
        <w:pStyle w:val="Compact"/>
      </w:pPr>
      <w:r>
        <w:rPr>
          <w:bCs/>
          <w:b/>
        </w:rPr>
        <w:t xml:space="preserve">Quality Assurance and Compliance Review:</w:t>
      </w:r>
      <w:r>
        <w:t xml:space="preserve"> </w:t>
      </w:r>
      <w:r>
        <w:t xml:space="preserve">A dedicated review phase to ensure all edited materials comply with the content guidelines of the Saudi Communications and Media Commission (CMA) and the advertising regulations of the Saudi Standards, Metrology and Quality Organization (SASO).</w:t>
      </w:r>
    </w:p>
    <w:p>
      <w:pPr>
        <w:numPr>
          <w:ilvl w:val="0"/>
          <w:numId w:val="1001"/>
        </w:numPr>
        <w:pStyle w:val="Compact"/>
      </w:pPr>
      <w:r>
        <w:rPr>
          <w:bCs/>
          <w:b/>
        </w:rPr>
        <w:t xml:space="preserve">On-Site Collaboration:</w:t>
      </w:r>
      <w:r>
        <w:t xml:space="preserve"> </w:t>
      </w:r>
      <w:r>
        <w:t xml:space="preserve">The Editor shall be available for on-site meetings and review sessions at the client's offices in Riyadh, Saudi Arabia, a minimum of three (3) days per week throughout the project duration.</w:t>
      </w:r>
    </w:p>
    <w:p>
      <w:pPr>
        <w:numPr>
          <w:ilvl w:val="0"/>
          <w:numId w:val="1001"/>
        </w:numPr>
        <w:pStyle w:val="Compact"/>
      </w:pPr>
      <w:r>
        <w:rPr>
          <w:bCs/>
          <w:b/>
        </w:rPr>
        <w:t xml:space="preserve">Final Delivery and Archiving:</w:t>
      </w:r>
      <w:r>
        <w:t xml:space="preserve"> </w:t>
      </w:r>
      <w:r>
        <w:t xml:space="preserve">Delivery of all final edited assets in industry-standard formats (ProRes 422 HQ, H.264, and DCP) along with a complete project archive stored on secure servers located within Saudi Arabia, in accordance with the Saudi Data and AI Authority (SDAIA) data residency requirements.</w:t>
      </w:r>
    </w:p>
    <w:bookmarkEnd w:id="22"/>
    <w:bookmarkStart w:id="23" w:name="project-timeline"/>
    <w:p>
      <w:pPr>
        <w:pStyle w:val="Heading2"/>
      </w:pPr>
      <w:r>
        <w:t xml:space="preserve">3. Project Timeline</w:t>
      </w:r>
    </w:p>
    <w:p>
      <w:pPr>
        <w:pStyle w:val="FirstParagraph"/>
      </w:pPr>
      <w:r>
        <w:t xml:space="preserve">The Editor engagement under this Quotation Estimate is scheduled to commence on 1 July 2025 and conclude on 30 September 2025, spanning a total of thirteen (13) weeks. All milestones and delivery deadlines are subject to the client's approval workflow and the operational calendar in Riyadh, Saudi Arabia, including accommodation for the Holy Month of Ramadan and Eid al-Adha holidays, which may affect working hours and availability.</w:t>
      </w:r>
    </w:p>
    <w:bookmarkEnd w:id="23"/>
    <w:bookmarkStart w:id="24" w:name="financial-breakdown-quotation-estimate"/>
    <w:p>
      <w:pPr>
        <w:pStyle w:val="Heading2"/>
      </w:pPr>
      <w:r>
        <w:t xml:space="preserve">4. Financial Breakdown –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Editor Service</w:t>
            </w:r>
          </w:p>
        </w:tc>
        <w:tc>
          <w:tcPr/>
          <w:p>
            <w:pPr>
              <w:pStyle w:val="Compact"/>
              <w:jc w:val="left"/>
            </w:pPr>
            <w:r>
              <w:t xml:space="preserve">Duration / Quantity</w:t>
            </w:r>
          </w:p>
        </w:tc>
        <w:tc>
          <w:tcPr/>
          <w:p>
            <w:pPr>
              <w:pStyle w:val="Compact"/>
              <w:jc w:val="left"/>
            </w:pPr>
            <w:r>
              <w:t xml:space="preserve">Unit Rate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Senior Editor – Video Post-Production (12 corporate videos)</w:t>
            </w:r>
          </w:p>
        </w:tc>
        <w:tc>
          <w:tcPr/>
          <w:p>
            <w:pPr>
              <w:pStyle w:val="Compact"/>
              <w:jc w:val="left"/>
            </w:pPr>
            <w:r>
              <w:t xml:space="preserve">13 weeks</w:t>
            </w:r>
          </w:p>
        </w:tc>
        <w:tc>
          <w:tcPr/>
          <w:p>
            <w:pPr>
              <w:pStyle w:val="Compact"/>
              <w:jc w:val="left"/>
            </w:pPr>
            <w:r>
              <w:t xml:space="preserve">18,500 / week</w:t>
            </w:r>
          </w:p>
        </w:tc>
        <w:tc>
          <w:tcPr/>
          <w:p>
            <w:pPr>
              <w:pStyle w:val="Compact"/>
              <w:jc w:val="left"/>
            </w:pPr>
            <w:r>
              <w:t xml:space="preserve">240,500</w:t>
            </w:r>
          </w:p>
        </w:tc>
      </w:tr>
      <w:tr>
        <w:tc>
          <w:tcPr/>
          <w:p>
            <w:pPr>
              <w:pStyle w:val="Compact"/>
              <w:jc w:val="left"/>
            </w:pPr>
            <w:r>
              <w:t xml:space="preserve">02</w:t>
            </w:r>
          </w:p>
        </w:tc>
        <w:tc>
          <w:tcPr/>
          <w:p>
            <w:pPr>
              <w:pStyle w:val="Compact"/>
              <w:jc w:val="left"/>
            </w:pPr>
            <w:r>
              <w:t xml:space="preserve">Editor – Content &amp; Copy Editing (Arabic/English)</w:t>
            </w:r>
          </w:p>
        </w:tc>
        <w:tc>
          <w:tcPr/>
          <w:p>
            <w:pPr>
              <w:pStyle w:val="Compact"/>
              <w:jc w:val="left"/>
            </w:pPr>
            <w:r>
              <w:t xml:space="preserve">13 weeks</w:t>
            </w:r>
          </w:p>
        </w:tc>
        <w:tc>
          <w:tcPr/>
          <w:p>
            <w:pPr>
              <w:pStyle w:val="Compact"/>
              <w:jc w:val="left"/>
            </w:pPr>
            <w:r>
              <w:t xml:space="preserve">9,200 / week</w:t>
            </w:r>
          </w:p>
        </w:tc>
        <w:tc>
          <w:tcPr/>
          <w:p>
            <w:pPr>
              <w:pStyle w:val="Compact"/>
              <w:jc w:val="left"/>
            </w:pPr>
            <w:r>
              <w:t xml:space="preserve">119,600</w:t>
            </w:r>
          </w:p>
        </w:tc>
      </w:tr>
      <w:tr>
        <w:tc>
          <w:tcPr/>
          <w:p>
            <w:pPr>
              <w:pStyle w:val="Compact"/>
              <w:jc w:val="left"/>
            </w:pPr>
            <w:r>
              <w:t xml:space="preserve">03</w:t>
            </w:r>
          </w:p>
        </w:tc>
        <w:tc>
          <w:tcPr/>
          <w:p>
            <w:pPr>
              <w:pStyle w:val="Compact"/>
              <w:jc w:val="left"/>
            </w:pPr>
            <w:r>
              <w:t xml:space="preserve">Subtitling, Localization &amp; CMA Compliance Review</w:t>
            </w:r>
          </w:p>
        </w:tc>
        <w:tc>
          <w:tcPr/>
          <w:p>
            <w:pPr>
              <w:pStyle w:val="Compact"/>
              <w:jc w:val="left"/>
            </w:pPr>
            <w:r>
              <w:t xml:space="preserve">Per project</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04</w:t>
            </w:r>
          </w:p>
        </w:tc>
        <w:tc>
          <w:tcPr/>
          <w:p>
            <w:pPr>
              <w:pStyle w:val="Compact"/>
              <w:jc w:val="left"/>
            </w:pPr>
            <w:r>
              <w:t xml:space="preserve">On-Site Collaboration &amp; Review Sessions in Riyadh</w:t>
            </w:r>
          </w:p>
        </w:tc>
        <w:tc>
          <w:tcPr/>
          <w:p>
            <w:pPr>
              <w:pStyle w:val="Compact"/>
              <w:jc w:val="left"/>
            </w:pPr>
            <w:r>
              <w:t xml:space="preserve">39 sessions</w:t>
            </w:r>
          </w:p>
        </w:tc>
        <w:tc>
          <w:tcPr/>
          <w:p>
            <w:pPr>
              <w:pStyle w:val="Compact"/>
              <w:jc w:val="left"/>
            </w:pPr>
            <w:r>
              <w:t xml:space="preserve">1,500 / session</w:t>
            </w:r>
          </w:p>
        </w:tc>
        <w:tc>
          <w:tcPr/>
          <w:p>
            <w:pPr>
              <w:pStyle w:val="Compact"/>
              <w:jc w:val="left"/>
            </w:pPr>
            <w:r>
              <w:t xml:space="preserve">58,500</w:t>
            </w:r>
          </w:p>
        </w:tc>
      </w:tr>
      <w:tr>
        <w:tc>
          <w:tcPr/>
          <w:p>
            <w:pPr>
              <w:pStyle w:val="Compact"/>
              <w:jc w:val="left"/>
            </w:pPr>
            <w:r>
              <w:t xml:space="preserve">05</w:t>
            </w:r>
          </w:p>
        </w:tc>
        <w:tc>
          <w:tcPr/>
          <w:p>
            <w:pPr>
              <w:pStyle w:val="Compact"/>
              <w:jc w:val="left"/>
            </w:pPr>
            <w:r>
              <w:t xml:space="preserve">Project Archiving &amp; Data Residency (SDAIA-compliant)</w:t>
            </w:r>
          </w:p>
        </w:tc>
        <w:tc>
          <w:tcPr/>
          <w:p>
            <w:pPr>
              <w:pStyle w:val="Compact"/>
              <w:jc w:val="left"/>
            </w:pPr>
            <w:r>
              <w:t xml:space="preserve">One-time</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06</w:t>
            </w:r>
          </w:p>
        </w:tc>
        <w:tc>
          <w:tcPr/>
          <w:p>
            <w:pPr>
              <w:pStyle w:val="Compact"/>
              <w:jc w:val="left"/>
            </w:pPr>
            <w:r>
              <w:t xml:space="preserve">Software Licenses &amp; Post-Production Suite (Adobe CC, DaVinci Resolve Studio)</w:t>
            </w:r>
          </w:p>
        </w:tc>
        <w:tc>
          <w:tcPr/>
          <w:p>
            <w:pPr>
              <w:pStyle w:val="Compact"/>
              <w:jc w:val="left"/>
            </w:pPr>
            <w:r>
              <w:t xml:space="preserve">13 weeks</w:t>
            </w:r>
          </w:p>
        </w:tc>
        <w:tc>
          <w:tcPr/>
          <w:p>
            <w:pPr>
              <w:pStyle w:val="Compact"/>
              <w:jc w:val="left"/>
            </w:pPr>
            <w:r>
              <w:t xml:space="preserve">3,200 / week</w:t>
            </w:r>
          </w:p>
        </w:tc>
        <w:tc>
          <w:tcPr/>
          <w:p>
            <w:pPr>
              <w:pStyle w:val="Compact"/>
              <w:jc w:val="left"/>
            </w:pPr>
            <w:r>
              <w:t xml:space="preserve">41,600</w:t>
            </w:r>
          </w:p>
        </w:tc>
      </w:tr>
      <w:tr>
        <w:tc>
          <w:tcPr>
            <w:gridSpan w:val="4"/>
          </w:tcPr>
          <w:p>
            <w:pPr>
              <w:pStyle w:val="Compact"/>
              <w:jc w:val="left"/>
            </w:pPr>
            <w:r>
              <w:t xml:space="preserve">Subtotal (SAR)</w:t>
            </w:r>
          </w:p>
        </w:tc>
        <w:tc>
          <w:tcPr/>
          <w:p>
            <w:pPr>
              <w:pStyle w:val="Compact"/>
              <w:jc w:val="left"/>
            </w:pPr>
            <w:r>
              <w:t xml:space="preserve">480,200</w:t>
            </w:r>
          </w:p>
        </w:tc>
      </w:tr>
      <w:tr>
        <w:tc>
          <w:tcPr>
            <w:gridSpan w:val="4"/>
          </w:tcPr>
          <w:p>
            <w:pPr>
              <w:pStyle w:val="Compact"/>
              <w:jc w:val="left"/>
            </w:pPr>
            <w:r>
              <w:t xml:space="preserve">VAT @ 15% (Saudi Arabia)</w:t>
            </w:r>
          </w:p>
        </w:tc>
        <w:tc>
          <w:tcPr/>
          <w:p>
            <w:pPr>
              <w:pStyle w:val="Compact"/>
              <w:jc w:val="left"/>
            </w:pPr>
            <w:r>
              <w:t xml:space="preserve">72,030</w:t>
            </w:r>
          </w:p>
        </w:tc>
      </w:tr>
      <w:tr>
        <w:tc>
          <w:tcPr>
            <w:gridSpan w:val="4"/>
          </w:tcPr>
          <w:p>
            <w:pPr>
              <w:pStyle w:val="Compact"/>
              <w:jc w:val="left"/>
            </w:pPr>
            <w:r>
              <w:rPr>
                <w:bCs/>
                <w:b/>
              </w:rPr>
              <w:t xml:space="preserve">Grand Total (SAR)</w:t>
            </w:r>
          </w:p>
        </w:tc>
        <w:tc>
          <w:tcPr/>
          <w:p>
            <w:pPr>
              <w:pStyle w:val="Compact"/>
              <w:jc w:val="left"/>
            </w:pPr>
            <w:r>
              <w:rPr>
                <w:bCs/>
                <w:b/>
              </w:rPr>
              <w:t xml:space="preserve">552,230</w:t>
            </w:r>
          </w:p>
        </w:tc>
      </w:tr>
    </w:tbl>
    <w:bookmarkEnd w:id="24"/>
    <w:bookmarkStart w:id="25" w:name="payment-terms"/>
    <w:p>
      <w:pPr>
        <w:pStyle w:val="Heading2"/>
      </w:pPr>
      <w:r>
        <w:t xml:space="preserve">5. Payment Terms</w:t>
      </w:r>
    </w:p>
    <w:p>
      <w:pPr>
        <w:pStyle w:val="FirstParagraph"/>
      </w:pPr>
      <w:r>
        <w:t xml:space="preserve">Payment for the Editor services outlined in this Quotation Estimate shall be made in three (3) installments via bank transfer to the account of Al-Riyadh Media Solutions LLC, held with a licensed Saudi Arabian bank in Riyadh. The payment schedule is as follows: (a) 40% advance payment upon execution of the service agreement; (b) 35% upon completion and client approval of the seventh (7th) week milestone; and (c) 25% upon final delivery and acceptance of all Editor deliverables. All payments are subject to the 15% Value Added Tax (VAT) as prescribed by the Zakat, Tax and Customs Authority (ZATCA) of Saudi Arabia.</w:t>
      </w:r>
    </w:p>
    <w:bookmarkEnd w:id="25"/>
    <w:bookmarkStart w:id="26" w:name="terms-and-conditions"/>
    <w:p>
      <w:pPr>
        <w:pStyle w:val="Heading2"/>
      </w:pPr>
      <w:r>
        <w:t xml:space="preserve">6. Terms and Conditions</w:t>
      </w:r>
    </w:p>
    <w:p>
      <w:pPr>
        <w:pStyle w:val="FirstParagraph"/>
      </w:pPr>
      <w:r>
        <w:t xml:space="preserve">This Quotation Estimate is valid for thirty (30) calendar days from the date of issue. Any changes to the scope of work, project duration, or deliverable specifications must be documented in a formal change order signed by both parties. The Editor shall maintain strict confidentiality of all client materials and shall be bound by a Non-Disclosure Agreement (NDA) in accordance with the Saudi Personal Data Protection Law (PDPL). All intellectual property rights in the final edited deliverables shall transfer to the client upon full payment. This Quotation Estimate does not constitute a binding contract until a formal Service Agreement is executed by both parties in Riyadh, Saudi Arabia.</w:t>
      </w:r>
    </w:p>
    <w:bookmarkEnd w:id="26"/>
    <w:bookmarkStart w:id="27" w:name="acceptance-and-authorization"/>
    <w:p>
      <w:pPr>
        <w:pStyle w:val="Heading2"/>
      </w:pPr>
      <w:r>
        <w:t xml:space="preserve">7. Acceptance and Authorization</w:t>
      </w:r>
    </w:p>
    <w:p>
      <w:pPr>
        <w:pStyle w:val="FirstParagraph"/>
      </w:pPr>
      <w:r>
        <w:t xml:space="preserve">By signing below, the client acknowledges receipt of this Quotation Estimate for Editor services and confirms that all terms, conditions, and financial figures have been reviewed and understood. This acceptance does not obligate either party to enter into a binding contract until a formal agreement is executed.</w:t>
      </w:r>
    </w:p>
    <w:p>
      <w:pPr>
        <w:pStyle w:val="BodyText"/>
      </w:pPr>
      <w:r>
        <w:rPr>
          <w:bCs/>
          <w:b/>
        </w:rPr>
        <w:t xml:space="preserve">For Al-Riyadh Media Solutions LLC</w:t>
      </w:r>
    </w:p>
    <w:p>
      <w:pPr>
        <w:pStyle w:val="BodyText"/>
      </w:pPr>
      <w:r>
        <w:t xml:space="preserve">Name: _________________________</w:t>
      </w:r>
    </w:p>
    <w:p>
      <w:pPr>
        <w:pStyle w:val="BodyText"/>
      </w:pPr>
      <w:r>
        <w:t xml:space="preserve">Title: Managing Director</w:t>
      </w:r>
    </w:p>
    <w:p>
      <w:pPr>
        <w:pStyle w:val="BodyText"/>
      </w:pPr>
      <w:r>
        <w:t xml:space="preserve">Signature &amp; Date</w:t>
      </w:r>
    </w:p>
    <w:p>
      <w:pPr>
        <w:pStyle w:val="BodyText"/>
      </w:pPr>
      <w:r>
        <w:rPr>
          <w:bCs/>
          <w:b/>
        </w:rPr>
        <w:t xml:space="preserve">For Al-Nakheel Group of Companies</w:t>
      </w:r>
    </w:p>
    <w:p>
      <w:pPr>
        <w:pStyle w:val="BodyText"/>
      </w:pPr>
      <w:r>
        <w:t xml:space="preserve">Name: _________________________</w:t>
      </w:r>
    </w:p>
    <w:p>
      <w:pPr>
        <w:pStyle w:val="BodyText"/>
      </w:pPr>
      <w:r>
        <w:t xml:space="preserve">Title: _________________________</w:t>
      </w:r>
    </w:p>
    <w:p>
      <w:pPr>
        <w:pStyle w:val="BodyText"/>
      </w:pPr>
      <w:r>
        <w:t xml:space="preserve">Signature &amp; Date</w:t>
      </w:r>
    </w:p>
    <w:p>
      <w:pPr>
        <w:pStyle w:val="BodyText"/>
      </w:pPr>
      <w:r>
        <w:t xml:space="preserve">This Quotation Estimate was prepared for use in Riyadh, Saudi Arabia. All references to local regulations, tax authorities, and media compliance bodies pertain to the Kingdom of Saudi Arabia. Document Ref: QTE-2025-0472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Editor Services - Saudi Arabia Riyadh</dc:title>
  <dc:creator/>
  <dc:language>en</dc:language>
  <cp:keywords/>
  <dcterms:created xsi:type="dcterms:W3CDTF">2026-10-10T04:31:44Z</dcterms:created>
  <dcterms:modified xsi:type="dcterms:W3CDTF">2026-10-10T04:31:44Z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