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Editorial Services</w:t>
      </w:r>
    </w:p>
    <w:p>
      <w:pPr>
        <w:pStyle w:val="BodyText"/>
      </w:pPr>
      <w:r>
        <w:t xml:space="preserve">Meridian Editorial Solutions Ltd.</w:t>
      </w:r>
    </w:p>
    <w:p>
      <w:pPr>
        <w:pStyle w:val="BodyText"/>
      </w:pPr>
      <w:r>
        <w:t xml:space="preserve">142 Fleet Street, London EC4Y 1AA, United Kingdom</w:t>
      </w:r>
    </w:p>
    <w:p>
      <w:pPr>
        <w:pStyle w:val="BodyText"/>
      </w:pPr>
      <w:r>
        <w:t xml:space="preserve">Tel: +44 (0)20 7946 0821 | Email: estimates@meridianeditorial.co.uk</w:t>
      </w:r>
    </w:p>
    <w:p>
      <w:pPr>
        <w:pStyle w:val="BodyText"/>
      </w:pPr>
      <w:r>
        <w:t xml:space="preserve">Company Registration No. 08765432 | VAT No. GB 123 4567 89</w:t>
      </w:r>
    </w:p>
    <w:bookmarkEnd w:id="20"/>
    <w:p>
      <w:pPr>
        <w:pStyle w:val="BodyText"/>
      </w:pPr>
      <w:r>
        <w:rPr>
          <w:bCs/>
          <w:b/>
        </w:rPr>
        <w:t xml:space="preserve">Quotation Estimate No.:</w:t>
      </w:r>
      <w:r>
        <w:t xml:space="preserve"> </w:t>
      </w:r>
      <w:r>
        <w:t xml:space="preserve">QES-2025-04782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[Client Name / Organisation]</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has been prepared by Meridian Editorial Solutions Ltd. to provide a comprehensive and transparent breakdown of costs for professional</w:t>
      </w:r>
      <w:r>
        <w:t xml:space="preserve"> </w:t>
      </w:r>
      <w:r>
        <w:t xml:space="preserve">Editor</w:t>
      </w:r>
      <w:r>
        <w:t xml:space="preserve"> </w:t>
      </w:r>
      <w:r>
        <w:t xml:space="preserve">services to be delivered within the</w:t>
      </w:r>
      <w:r>
        <w:t xml:space="preserve"> </w:t>
      </w:r>
      <w:r>
        <w:t xml:space="preserve">United Kingdom London</w:t>
      </w:r>
      <w:r>
        <w:t xml:space="preserve"> </w:t>
      </w:r>
      <w:r>
        <w:t xml:space="preserve">metropolitan area. Our team of senior editors brings over fifteen years of combined experience in academic, commercial, technical, and creative editorial work, and we are committed to delivering the highest standard of linguistic precision, structural coherence, and stylistic consistency to all manuscripts and documents entrusted to us.</w:t>
      </w:r>
    </w:p>
    <w:p>
      <w:pPr>
        <w:pStyle w:val="BodyText"/>
      </w:pPr>
      <w:r>
        <w:t xml:space="preserve">The scope of this engagement encompasses the full editorial lifecycle for the client's specified project, including but not limited to: developmental editing, line editing, copyediting, proofreading, style guide compliance (adhering to the client's preferred house style or, in its absence, the Oxford Style Guide), reference and citation verification, and final pre-publication quality assurance. All editorial work will be conducted by a dedicated</w:t>
      </w:r>
      <w:r>
        <w:t xml:space="preserve"> </w:t>
      </w:r>
      <w:r>
        <w:t xml:space="preserve">Editor</w:t>
      </w:r>
      <w:r>
        <w:t xml:space="preserve"> </w:t>
      </w:r>
      <w:r>
        <w:t xml:space="preserve">assigned exclusively to this project, ensuring continuity of voice and consistent application of editorial decisions throughout the manuscript.</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Editorial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Developmental / Structural Editing – assessment of overall argument, chapter structure, narrative flow, and logical progression of content</w:t>
            </w:r>
          </w:p>
        </w:tc>
        <w:tc>
          <w:tcPr/>
          <w:p>
            <w:pPr>
              <w:pStyle w:val="Compact"/>
              <w:jc w:val="left"/>
            </w:pPr>
            <w:r>
              <w:t xml:space="preserve">Per 1,000 words</w:t>
            </w:r>
          </w:p>
        </w:tc>
        <w:tc>
          <w:tcPr/>
          <w:p>
            <w:pPr>
              <w:pStyle w:val="Compact"/>
              <w:jc w:val="left"/>
            </w:pPr>
            <w:r>
              <w:t xml:space="preserve">£18.50</w:t>
            </w:r>
          </w:p>
        </w:tc>
        <w:tc>
          <w:tcPr/>
          <w:p>
            <w:pPr>
              <w:pStyle w:val="Compact"/>
              <w:jc w:val="left"/>
            </w:pPr>
            <w:r>
              <w:t xml:space="preserve">45,000 words</w:t>
            </w:r>
          </w:p>
        </w:tc>
        <w:tc>
          <w:tcPr/>
          <w:p>
            <w:pPr>
              <w:pStyle w:val="Compact"/>
              <w:jc w:val="left"/>
            </w:pPr>
            <w:r>
              <w:t xml:space="preserve">£832.50</w:t>
            </w:r>
          </w:p>
        </w:tc>
      </w:tr>
      <w:tr>
        <w:tc>
          <w:tcPr/>
          <w:p>
            <w:pPr>
              <w:pStyle w:val="Compact"/>
              <w:jc w:val="left"/>
            </w:pPr>
            <w:r>
              <w:t xml:space="preserve">02</w:t>
            </w:r>
          </w:p>
        </w:tc>
        <w:tc>
          <w:tcPr/>
          <w:p>
            <w:pPr>
              <w:pStyle w:val="Compact"/>
              <w:jc w:val="left"/>
            </w:pPr>
            <w:r>
              <w:t xml:space="preserve">Line Editing – refinement of sentence structure, paragraph cohesion, tone consistency, and readability at the paragraph level</w:t>
            </w:r>
          </w:p>
        </w:tc>
        <w:tc>
          <w:tcPr/>
          <w:p>
            <w:pPr>
              <w:pStyle w:val="Compact"/>
              <w:jc w:val="left"/>
            </w:pPr>
            <w:r>
              <w:t xml:space="preserve">Per 1,000 words</w:t>
            </w:r>
          </w:p>
        </w:tc>
        <w:tc>
          <w:tcPr/>
          <w:p>
            <w:pPr>
              <w:pStyle w:val="Compact"/>
              <w:jc w:val="left"/>
            </w:pPr>
            <w:r>
              <w:t xml:space="preserve">£14.00</w:t>
            </w:r>
          </w:p>
        </w:tc>
        <w:tc>
          <w:tcPr/>
          <w:p>
            <w:pPr>
              <w:pStyle w:val="Compact"/>
              <w:jc w:val="left"/>
            </w:pPr>
            <w:r>
              <w:t xml:space="preserve">45,000 words</w:t>
            </w:r>
          </w:p>
        </w:tc>
        <w:tc>
          <w:tcPr/>
          <w:p>
            <w:pPr>
              <w:pStyle w:val="Compact"/>
              <w:jc w:val="left"/>
            </w:pPr>
            <w:r>
              <w:t xml:space="preserve">£630.00</w:t>
            </w:r>
          </w:p>
        </w:tc>
      </w:tr>
      <w:tr>
        <w:tc>
          <w:tcPr/>
          <w:p>
            <w:pPr>
              <w:pStyle w:val="Compact"/>
              <w:jc w:val="left"/>
            </w:pPr>
            <w:r>
              <w:t xml:space="preserve">03</w:t>
            </w:r>
          </w:p>
        </w:tc>
        <w:tc>
          <w:tcPr/>
          <w:p>
            <w:pPr>
              <w:pStyle w:val="Compact"/>
              <w:jc w:val="left"/>
            </w:pPr>
            <w:r>
              <w:t xml:space="preserve">Copyediting – correction of grammar, punctuation, spelling, syntax, factual accuracy, and adherence to the agreed style guide</w:t>
            </w:r>
          </w:p>
        </w:tc>
        <w:tc>
          <w:tcPr/>
          <w:p>
            <w:pPr>
              <w:pStyle w:val="Compact"/>
              <w:jc w:val="left"/>
            </w:pPr>
            <w:r>
              <w:t xml:space="preserve">Per 1,000 words</w:t>
            </w:r>
          </w:p>
        </w:tc>
        <w:tc>
          <w:tcPr/>
          <w:p>
            <w:pPr>
              <w:pStyle w:val="Compact"/>
              <w:jc w:val="left"/>
            </w:pPr>
            <w:r>
              <w:t xml:space="preserve">£11.50</w:t>
            </w:r>
          </w:p>
        </w:tc>
        <w:tc>
          <w:tcPr/>
          <w:p>
            <w:pPr>
              <w:pStyle w:val="Compact"/>
              <w:jc w:val="left"/>
            </w:pPr>
            <w:r>
              <w:t xml:space="preserve">45,000 words</w:t>
            </w:r>
          </w:p>
        </w:tc>
        <w:tc>
          <w:tcPr/>
          <w:p>
            <w:pPr>
              <w:pStyle w:val="Compact"/>
              <w:jc w:val="left"/>
            </w:pPr>
            <w:r>
              <w:t xml:space="preserve">£517.50</w:t>
            </w:r>
          </w:p>
        </w:tc>
      </w:tr>
      <w:tr>
        <w:tc>
          <w:tcPr/>
          <w:p>
            <w:pPr>
              <w:pStyle w:val="Compact"/>
              <w:jc w:val="left"/>
            </w:pPr>
            <w:r>
              <w:t xml:space="preserve">04</w:t>
            </w:r>
          </w:p>
        </w:tc>
        <w:tc>
          <w:tcPr/>
          <w:p>
            <w:pPr>
              <w:pStyle w:val="Compact"/>
              <w:jc w:val="left"/>
            </w:pPr>
            <w:r>
              <w:t xml:space="preserve">Proofreading – final pass for typographical errors, formatting inconsistencies, cross-reference accuracy, and layout verification</w:t>
            </w:r>
          </w:p>
        </w:tc>
        <w:tc>
          <w:tcPr/>
          <w:p>
            <w:pPr>
              <w:pStyle w:val="Compact"/>
              <w:jc w:val="left"/>
            </w:pPr>
            <w:r>
              <w:t xml:space="preserve">Per 1,000 words</w:t>
            </w:r>
          </w:p>
        </w:tc>
        <w:tc>
          <w:tcPr/>
          <w:p>
            <w:pPr>
              <w:pStyle w:val="Compact"/>
              <w:jc w:val="left"/>
            </w:pPr>
            <w:r>
              <w:t xml:space="preserve">£8.00</w:t>
            </w:r>
          </w:p>
        </w:tc>
        <w:tc>
          <w:tcPr/>
          <w:p>
            <w:pPr>
              <w:pStyle w:val="Compact"/>
              <w:jc w:val="left"/>
            </w:pPr>
            <w:r>
              <w:t xml:space="preserve">45,000 words</w:t>
            </w:r>
          </w:p>
        </w:tc>
        <w:tc>
          <w:tcPr/>
          <w:p>
            <w:pPr>
              <w:pStyle w:val="Compact"/>
              <w:jc w:val="left"/>
            </w:pPr>
            <w:r>
              <w:t xml:space="preserve">£360.00</w:t>
            </w:r>
          </w:p>
        </w:tc>
      </w:tr>
      <w:tr>
        <w:tc>
          <w:tcPr/>
          <w:p>
            <w:pPr>
              <w:pStyle w:val="Compact"/>
              <w:jc w:val="left"/>
            </w:pPr>
            <w:r>
              <w:t xml:space="preserve">05</w:t>
            </w:r>
          </w:p>
        </w:tc>
        <w:tc>
          <w:tcPr/>
          <w:p>
            <w:pPr>
              <w:pStyle w:val="Compact"/>
              <w:jc w:val="left"/>
            </w:pPr>
            <w:r>
              <w:t xml:space="preserve">Reference and Citation Verification – checking all footnotes, endnotes, bibliography entries, and in-text citations against source material</w:t>
            </w:r>
          </w:p>
        </w:tc>
        <w:tc>
          <w:tcPr/>
          <w:p>
            <w:pPr>
              <w:pStyle w:val="Compact"/>
              <w:jc w:val="left"/>
            </w:pPr>
            <w:r>
              <w:t xml:space="preserve">Flat fee</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06</w:t>
            </w:r>
          </w:p>
        </w:tc>
        <w:tc>
          <w:tcPr/>
          <w:p>
            <w:pPr>
              <w:pStyle w:val="Compact"/>
              <w:jc w:val="left"/>
            </w:pPr>
            <w:r>
              <w:t xml:space="preserve">Editorial Consultation and Client Meetings – up to four (4) in-person or virtual meetings with the assigned Editor to discuss editorial strategy, resolve queries, and approve stage deliverables</w:t>
            </w:r>
          </w:p>
        </w:tc>
        <w:tc>
          <w:tcPr/>
          <w:p>
            <w:pPr>
              <w:pStyle w:val="Compact"/>
              <w:jc w:val="left"/>
            </w:pPr>
            <w:r>
              <w:t xml:space="preserve">Per meeting (1 hour)</w:t>
            </w:r>
          </w:p>
        </w:tc>
        <w:tc>
          <w:tcPr/>
          <w:p>
            <w:pPr>
              <w:pStyle w:val="Compact"/>
              <w:jc w:val="left"/>
            </w:pPr>
            <w:r>
              <w:t xml:space="preserve">£95.00</w:t>
            </w:r>
          </w:p>
        </w:tc>
        <w:tc>
          <w:tcPr/>
          <w:p>
            <w:pPr>
              <w:pStyle w:val="Compact"/>
              <w:jc w:val="left"/>
            </w:pPr>
            <w:r>
              <w:t xml:space="preserve">4</w:t>
            </w:r>
          </w:p>
        </w:tc>
        <w:tc>
          <w:tcPr/>
          <w:p>
            <w:pPr>
              <w:pStyle w:val="Compact"/>
              <w:jc w:val="left"/>
            </w:pPr>
            <w:r>
              <w:t xml:space="preserve">£380.00</w:t>
            </w:r>
          </w:p>
        </w:tc>
      </w:tr>
      <w:tr>
        <w:tc>
          <w:tcPr/>
          <w:p>
            <w:pPr>
              <w:pStyle w:val="Compact"/>
              <w:jc w:val="left"/>
            </w:pPr>
            <w:r>
              <w:t xml:space="preserve">07</w:t>
            </w:r>
          </w:p>
        </w:tc>
        <w:tc>
          <w:tcPr/>
          <w:p>
            <w:pPr>
              <w:pStyle w:val="Compact"/>
              <w:jc w:val="left"/>
            </w:pPr>
            <w:r>
              <w:t xml:space="preserve">Project Management and Coordination – scheduling, file management, version control, and progress reporting throughout the editorial timeline</w:t>
            </w:r>
          </w:p>
        </w:tc>
        <w:tc>
          <w:tcPr/>
          <w:p>
            <w:pPr>
              <w:pStyle w:val="Compact"/>
              <w:jc w:val="left"/>
            </w:pPr>
            <w:r>
              <w:t xml:space="preserve">Flat fee</w:t>
            </w:r>
          </w:p>
        </w:tc>
        <w:tc>
          <w:tcPr/>
          <w:p>
            <w:pPr>
              <w:pStyle w:val="Compact"/>
              <w:jc w:val="left"/>
            </w:pPr>
            <w:r>
              <w:t xml:space="preserve">£200.00</w:t>
            </w:r>
          </w:p>
        </w:tc>
        <w:tc>
          <w:tcPr/>
          <w:p>
            <w:pPr>
              <w:pStyle w:val="Compact"/>
              <w:jc w:val="left"/>
            </w:pPr>
            <w:r>
              <w:t xml:space="preserve">1</w:t>
            </w:r>
          </w:p>
        </w:tc>
        <w:tc>
          <w:tcPr/>
          <w:p>
            <w:pPr>
              <w:pStyle w:val="Compact"/>
              <w:jc w:val="left"/>
            </w:pPr>
            <w:r>
              <w:t xml:space="preserve">£200.00</w:t>
            </w:r>
          </w:p>
        </w:tc>
      </w:tr>
      <w:tr>
        <w:tc>
          <w:tcPr/>
          <w:p>
            <w:pPr>
              <w:pStyle w:val="Compact"/>
              <w:jc w:val="left"/>
            </w:pPr>
            <w:r>
              <w:t xml:space="preserve">08</w:t>
            </w:r>
          </w:p>
        </w:tc>
        <w:tc>
          <w:tcPr/>
          <w:p>
            <w:pPr>
              <w:pStyle w:val="Compact"/>
              <w:jc w:val="left"/>
            </w:pPr>
            <w:r>
              <w:t xml:space="preserve">Urgent Turnaround Surcharge (if applicable) – 25% premium for any stage delivered within 48 hours of request</w:t>
            </w:r>
          </w:p>
        </w:tc>
        <w:tc>
          <w:tcPr/>
          <w:p>
            <w:pPr>
              <w:pStyle w:val="Compact"/>
              <w:jc w:val="left"/>
            </w:pPr>
            <w:r>
              <w:t xml:space="preserve">Per occurrence</w:t>
            </w:r>
          </w:p>
        </w:tc>
        <w:tc>
          <w:tcPr/>
          <w:p>
            <w:pPr>
              <w:pStyle w:val="Compact"/>
              <w:jc w:val="left"/>
            </w:pPr>
            <w:r>
              <w:t xml:space="preserve">£150.00</w:t>
            </w:r>
          </w:p>
        </w:tc>
        <w:tc>
          <w:tcPr/>
          <w:p>
            <w:pPr>
              <w:pStyle w:val="Compact"/>
              <w:jc w:val="left"/>
            </w:pPr>
            <w:r>
              <w:t xml:space="preserve">2 (est.)</w:t>
            </w:r>
          </w:p>
        </w:tc>
        <w:tc>
          <w:tcPr/>
          <w:p>
            <w:pPr>
              <w:pStyle w:val="Compact"/>
              <w:jc w:val="left"/>
            </w:pPr>
            <w:r>
              <w:t xml:space="preserve">£300.00</w:t>
            </w:r>
          </w:p>
        </w:tc>
      </w:tr>
      <w:tr>
        <w:tc>
          <w:tcPr>
            <w:gridSpan w:val="5"/>
          </w:tcPr>
          <w:p>
            <w:pPr>
              <w:pStyle w:val="Compact"/>
              <w:jc w:val="left"/>
            </w:pPr>
            <w:r>
              <w:t xml:space="preserve">SUBTOTAL (Excluding VAT)</w:t>
            </w:r>
          </w:p>
        </w:tc>
        <w:tc>
          <w:tcPr/>
          <w:p>
            <w:pPr>
              <w:pStyle w:val="Compact"/>
              <w:jc w:val="left"/>
            </w:pPr>
            <w:r>
              <w:t xml:space="preserve">£3,470.00</w:t>
            </w:r>
          </w:p>
        </w:tc>
      </w:tr>
      <w:tr>
        <w:tc>
          <w:tcPr>
            <w:gridSpan w:val="5"/>
          </w:tcPr>
          <w:p>
            <w:pPr>
              <w:pStyle w:val="Compact"/>
              <w:jc w:val="left"/>
            </w:pPr>
            <w:r>
              <w:t xml:space="preserve">VAT @ 20% (United Kingdom)</w:t>
            </w:r>
          </w:p>
        </w:tc>
        <w:tc>
          <w:tcPr/>
          <w:p>
            <w:pPr>
              <w:pStyle w:val="Compact"/>
              <w:jc w:val="left"/>
            </w:pPr>
            <w:r>
              <w:t xml:space="preserve">£694.00</w:t>
            </w:r>
          </w:p>
        </w:tc>
      </w:tr>
      <w:tr>
        <w:tc>
          <w:tcPr>
            <w:gridSpan w:val="5"/>
          </w:tcPr>
          <w:p>
            <w:pPr>
              <w:pStyle w:val="Compact"/>
              <w:jc w:val="left"/>
            </w:pPr>
            <w:r>
              <w:t xml:space="preserve">TOTAL ESTIMATED COST (Including VAT)</w:t>
            </w:r>
          </w:p>
        </w:tc>
        <w:tc>
          <w:tcPr/>
          <w:p>
            <w:pPr>
              <w:pStyle w:val="Compact"/>
              <w:jc w:val="left"/>
            </w:pPr>
            <w:r>
              <w:t xml:space="preserve">£4,164.00</w:t>
            </w:r>
          </w:p>
        </w:tc>
      </w:tr>
    </w:tbl>
    <w:bookmarkEnd w:id="22"/>
    <w:bookmarkStart w:id="23" w:name="Xa0189b8c246bb93fedb9817127b9449ba2f78d7"/>
    <w:p>
      <w:pPr>
        <w:pStyle w:val="Heading2"/>
      </w:pPr>
      <w:r>
        <w:t xml:space="preserve">3. Editorial Standards and Quality Assurance</w:t>
      </w:r>
    </w:p>
    <w:p>
      <w:pPr>
        <w:pStyle w:val="FirstParagraph"/>
      </w:pPr>
      <w:r>
        <w:t xml:space="preserve">All</w:t>
      </w:r>
      <w:r>
        <w:t xml:space="preserve"> </w:t>
      </w:r>
      <w:r>
        <w:t xml:space="preserve">Editor</w:t>
      </w:r>
      <w:r>
        <w:t xml:space="preserve"> </w:t>
      </w:r>
      <w:r>
        <w:t xml:space="preserve">services provided under this</w:t>
      </w:r>
      <w:r>
        <w:t xml:space="preserve"> </w:t>
      </w:r>
      <w:r>
        <w:t xml:space="preserve">Quotation Estimate</w:t>
      </w:r>
      <w:r>
        <w:t xml:space="preserve"> </w:t>
      </w:r>
      <w:r>
        <w:t xml:space="preserve">will be executed in strict accordance with the editorial standards prevailing in the</w:t>
      </w:r>
      <w:r>
        <w:t xml:space="preserve"> </w:t>
      </w:r>
      <w:r>
        <w:t xml:space="preserve">United Kingdom London</w:t>
      </w:r>
      <w:r>
        <w:t xml:space="preserve"> </w:t>
      </w:r>
      <w:r>
        <w:t xml:space="preserve">publishing and professional services sector. Our senior Editor will conduct a minimum of two independent review passes on every manuscript stage before returning it to the client. All editorial changes will be tracked using Microsoft Word's Track Changes function or, at the client's preference, via a redline document, ensuring full transparency and the ability to accept or reject individual edits. A comprehensive editorial report summarising key structural recommendations, recurring issues identified, and style decisions made will accompany each stage deliverable.</w:t>
      </w:r>
    </w:p>
    <w:bookmarkEnd w:id="23"/>
    <w:bookmarkStart w:id="24" w:name="project-timeline"/>
    <w:p>
      <w:pPr>
        <w:pStyle w:val="Heading2"/>
      </w:pPr>
      <w:r>
        <w:t xml:space="preserve">4. Project Timeline</w:t>
      </w:r>
    </w:p>
    <w:p>
      <w:pPr>
        <w:pStyle w:val="FirstParagraph"/>
      </w:pPr>
      <w:r>
        <w:t xml:space="preserve">The estimated completion timeline for the full editorial scope outlined in this</w:t>
      </w:r>
      <w:r>
        <w:t xml:space="preserve"> </w:t>
      </w:r>
      <w:r>
        <w:t xml:space="preserve">Quotation Estimate</w:t>
      </w:r>
      <w:r>
        <w:t xml:space="preserve"> </w:t>
      </w:r>
      <w:r>
        <w:t xml:space="preserve">is eight (8) working weeks from the date of client acceptance and receipt of the final manuscript. The timeline is structured as follows: Weeks 1–2 (Developmental Editing), Weeks 3–4 (Line Editing), Weeks 5–6 (Copyediting), Week 7 (Proofreading and Reference Verification), and Week 8 (Final QA, editorial report compilation, and delivery). All dates are contingent upon timely client feedback within five (5) working days of each stage delivery.</w:t>
      </w:r>
    </w:p>
    <w:bookmarkEnd w:id="24"/>
    <w:bookmarkStart w:id="25" w:name="terms-and-conditions"/>
    <w:p>
      <w:pPr>
        <w:pStyle w:val="Heading2"/>
      </w:pPr>
      <w:r>
        <w:t xml:space="preserve">5.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Rates are subject to review upon expiry.</w:t>
      </w:r>
    </w:p>
    <w:p>
      <w:pPr>
        <w:numPr>
          <w:ilvl w:val="0"/>
          <w:numId w:val="1001"/>
        </w:numPr>
        <w:pStyle w:val="Compact"/>
      </w:pPr>
      <w:r>
        <w:rPr>
          <w:bCs/>
          <w:b/>
        </w:rPr>
        <w:t xml:space="preserve">Payment Terms:</w:t>
      </w:r>
      <w:r>
        <w:t xml:space="preserve"> </w:t>
      </w:r>
      <w:r>
        <w:t xml:space="preserve">40% deposit due upon acceptance of this Quotation Estimate; 40% due upon completion of the Copyediting stage; 20% balance due upon final delivery. All payments are due within fourteen (14) days of invoice date. Payment may be made by BACS transfer to our United Kingdom London bank account.</w:t>
      </w:r>
    </w:p>
    <w:p>
      <w:pPr>
        <w:numPr>
          <w:ilvl w:val="0"/>
          <w:numId w:val="1001"/>
        </w:numPr>
        <w:pStyle w:val="Compact"/>
      </w:pPr>
      <w:r>
        <w:rPr>
          <w:bCs/>
          <w:b/>
        </w:rPr>
        <w:t xml:space="preserve">Revisions:</w:t>
      </w:r>
      <w:r>
        <w:t xml:space="preserve"> </w:t>
      </w:r>
      <w:r>
        <w:t xml:space="preserve">One (1) round of minor revisions (up to 5% of total word count) is included at no additional cost. Further revisions will be billed at the applicable per-1,000-word rate.</w:t>
      </w:r>
    </w:p>
    <w:p>
      <w:pPr>
        <w:numPr>
          <w:ilvl w:val="0"/>
          <w:numId w:val="1001"/>
        </w:numPr>
        <w:pStyle w:val="Compact"/>
      </w:pPr>
      <w:r>
        <w:rPr>
          <w:bCs/>
          <w:b/>
        </w:rPr>
        <w:t xml:space="preserve">Confidentiality:</w:t>
      </w:r>
      <w:r>
        <w:t xml:space="preserve"> </w:t>
      </w:r>
      <w:r>
        <w:t xml:space="preserve">The assigned Editor and all supporting staff will sign a Non-Disclosure Agreement (NDA) prior to commencing work. All client materials will be stored on encrypted, UK-based servers in compliance with the UK General Data Protection Regulation (UK GDPR).</w:t>
      </w:r>
    </w:p>
    <w:p>
      <w:pPr>
        <w:numPr>
          <w:ilvl w:val="0"/>
          <w:numId w:val="1001"/>
        </w:numPr>
        <w:pStyle w:val="Compact"/>
      </w:pPr>
      <w:r>
        <w:rPr>
          <w:bCs/>
          <w:b/>
        </w:rPr>
        <w:t xml:space="preserve">Intellectual Property:</w:t>
      </w:r>
      <w:r>
        <w:t xml:space="preserve"> </w:t>
      </w:r>
      <w:r>
        <w:t xml:space="preserve">Upon full and final payment, all rights to the edited manuscript revert entirely to the client. Meridian Editorial Solutions Ltd. retains no claim to the content or structure of the work.</w:t>
      </w:r>
    </w:p>
    <w:p>
      <w:pPr>
        <w:numPr>
          <w:ilvl w:val="0"/>
          <w:numId w:val="1001"/>
        </w:numPr>
        <w:pStyle w:val="Compact"/>
      </w:pPr>
      <w:r>
        <w:rPr>
          <w:bCs/>
          <w:b/>
        </w:rPr>
        <w:t xml:space="preserve">Cancellation:</w:t>
      </w:r>
      <w:r>
        <w:t xml:space="preserve"> </w:t>
      </w:r>
      <w:r>
        <w:t xml:space="preserve">Should the client cancel the engagement after work has commenced, all fees for work completed up to the date of cancellation, plus a 15% administrative fee, will be invoiced.</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England and Wales. Any disputes shall be subject to the exclusive jurisdiction of the courts of the United Kingdom London.</w:t>
      </w:r>
    </w:p>
    <w:p>
      <w:pPr>
        <w:numPr>
          <w:ilvl w:val="0"/>
          <w:numId w:val="1001"/>
        </w:numPr>
        <w:pStyle w:val="Compact"/>
      </w:pPr>
      <w:r>
        <w:rPr>
          <w:bCs/>
          <w:b/>
        </w:rPr>
        <w:t xml:space="preserve">Insurance:</w:t>
      </w:r>
      <w:r>
        <w:t xml:space="preserve"> </w:t>
      </w:r>
      <w:r>
        <w:t xml:space="preserve">Meridian Editorial Solutions Ltd. maintains Professional Indemnity Insurance of £5,000,000 and Public Liability Insurance of £10,000,000, both valid throughout the United Kingdom.</w:t>
      </w:r>
    </w:p>
    <w:bookmarkEnd w:id="25"/>
    <w:bookmarkStart w:id="26" w:name="acceptance"/>
    <w:p>
      <w:pPr>
        <w:pStyle w:val="Heading2"/>
      </w:pPr>
      <w:r>
        <w:t xml:space="preserve">6. Acceptance</w:t>
      </w:r>
    </w:p>
    <w:p>
      <w:pPr>
        <w:pStyle w:val="FirstParagraph"/>
      </w:pPr>
      <w:r>
        <w:t xml:space="preserve">By signing below, the client acknowledges and accepts the terms, conditions, rates, and scope of work set out in this</w:t>
      </w:r>
      <w:r>
        <w:t xml:space="preserve"> </w:t>
      </w:r>
      <w:r>
        <w:t xml:space="preserve">Quotation Estimate</w:t>
      </w:r>
      <w:r>
        <w:t xml:space="preserve">. The client confirms that the proposed</w:t>
      </w:r>
      <w:r>
        <w:t xml:space="preserve"> </w:t>
      </w:r>
      <w:r>
        <w:t xml:space="preserve">Editor</w:t>
      </w:r>
      <w:r>
        <w:t xml:space="preserve"> </w:t>
      </w:r>
      <w:r>
        <w:t xml:space="preserve">services, to be delivered in the</w:t>
      </w:r>
      <w:r>
        <w:t xml:space="preserve"> </w:t>
      </w:r>
      <w:r>
        <w:t xml:space="preserve">United Kingdom London</w:t>
      </w:r>
      <w:r>
        <w:t xml:space="preserve"> </w:t>
      </w:r>
      <w:r>
        <w:t xml:space="preserve">area, meet their requirements and that they authorise Meridian Editorial Solutions Ltd. to proceed with the engagement upon receipt of the initial deposit.</w:t>
      </w:r>
    </w:p>
    <w:p>
      <w:pPr>
        <w:pStyle w:val="BodyText"/>
      </w:pPr>
      <w:r>
        <w:rPr>
          <w:bCs/>
          <w:b/>
        </w:rPr>
        <w:t xml:space="preserve">For and on behalf of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Meridian Editorial Solutions Ltd.:</w:t>
      </w:r>
    </w:p>
    <w:p>
      <w:pPr>
        <w:pStyle w:val="BodyText"/>
      </w:pPr>
      <w:r>
        <w:t xml:space="preserve">Name: Sarah Whitmore, Managing Director</w:t>
      </w:r>
      <w:r>
        <w:br/>
      </w:r>
      <w:r>
        <w:t xml:space="preserve">Title: Director of Editorial Operations</w:t>
      </w:r>
      <w:r>
        <w:br/>
      </w:r>
      <w:r>
        <w:t xml:space="preserve">Signature: ______________________________</w:t>
      </w:r>
      <w:r>
        <w:br/>
      </w:r>
      <w:r>
        <w:t xml:space="preserve">Date: ______________________________</w:t>
      </w:r>
    </w:p>
    <w:p>
      <w:pPr>
        <w:pStyle w:val="BodyText"/>
      </w:pPr>
      <w:r>
        <w:t xml:space="preserve">This Quotation Estimate document was generated by Meridian Editorial Solutions Ltd., 142 Fleet Street, London EC4Y 1AA, United Kingdom.</w:t>
      </w:r>
      <w:r>
        <w:br/>
      </w:r>
      <w:r>
        <w:t xml:space="preserve">This document is confidential and intended solely for the named client. Unauthorised reproduction or distribution is prohibited.</w:t>
      </w:r>
      <w:r>
        <w:br/>
      </w:r>
      <w:r>
        <w:t xml:space="preserve">Quotation Estimate No. QES-2025-04782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Editorial Services - United Kingdom London</dc:title>
  <dc:creator/>
  <dc:language>en</dc:language>
  <cp:keywords/>
  <dcterms:created xsi:type="dcterms:W3CDTF">2026-10-10T02:41:58Z</dcterms:created>
  <dcterms:modified xsi:type="dcterms:W3CDTF">2026-10-10T02:41:58Z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