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Editor Services — United States Miami</w:t>
      </w:r>
    </w:p>
    <w:p>
      <w:pPr>
        <w:pStyle w:val="BodyText"/>
      </w:pPr>
      <w:r>
        <w:t xml:space="preserve">Document No. QTE-MIA-2025-0472</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Atlantic Editorial Solutions LLC</w:t>
      </w:r>
    </w:p>
    <w:p>
      <w:pPr>
        <w:pStyle w:val="BodyText"/>
      </w:pPr>
      <w:r>
        <w:rPr>
          <w:bCs/>
          <w:b/>
        </w:rPr>
        <w:t xml:space="preserve">Client:</w:t>
      </w:r>
      <w:r>
        <w:t xml:space="preserve"> </w:t>
      </w:r>
      <w:r>
        <w:t xml:space="preserve">[Client Name / Organization]</w:t>
      </w:r>
      <w:r>
        <w:br/>
      </w:r>
      <w:r>
        <w:rPr>
          <w:bCs/>
          <w:b/>
        </w:rPr>
        <w:t xml:space="preserve">Location:</w:t>
      </w:r>
      <w:r>
        <w:t xml:space="preserve"> </w:t>
      </w:r>
      <w:r>
        <w:t xml:space="preserve">Miami, Florida, United States</w:t>
      </w:r>
      <w:r>
        <w:br/>
      </w:r>
      <w:r>
        <w:rPr>
          <w:bCs/>
          <w:b/>
        </w:rPr>
        <w:t xml:space="preserve">Reference:</w:t>
      </w:r>
      <w:r>
        <w:t xml:space="preserve"> </w:t>
      </w:r>
      <w:r>
        <w:t xml:space="preserve">Editor Engagement — Miami Division</w:t>
      </w:r>
    </w:p>
    <w:bookmarkStart w:id="21" w:name="purpose-of-this-quotation-estimate"/>
    <w:p>
      <w:pPr>
        <w:pStyle w:val="Heading2"/>
      </w:pPr>
      <w:r>
        <w:t xml:space="preserve">1. Purpose of This Quotation Estimate</w:t>
      </w:r>
    </w:p>
    <w:p>
      <w:pPr>
        <w:pStyle w:val="FirstParagraph"/>
      </w:pPr>
      <w:r>
        <w:t xml:space="preserve">This Quotation Estimate is issued by Atlantic Editorial Solutions LLC to provide a comprehensive and itemized cost breakdown for the engagement of a professional Editor based in United States Miami. This document serves as a formal proposal outlining the scope of editorial services, associated fees, project timelines, and applicable terms governing the Editor engagement. All pricing presented herein reflects current market rates for qualified editorial professionals operating within the Miami, Florida metropolitan area and the broader United States jurisdiction.</w:t>
      </w:r>
    </w:p>
    <w:p>
      <w:pPr>
        <w:pStyle w:val="BodyText"/>
      </w:pPr>
      <w:r>
        <w:t xml:space="preserve">The Editor referenced in this Quotation Estimate is a certified professional with a minimum of eight (8) years of experience in editorial management, copyediting, proofreading, content strategy, and publication oversight. The Editor will be physically stationed in United States Miami, ensuring direct collaboration with the client's local team, adherence to Florida state labor regulations, and compliance with all United States federal employment and tax obligations.</w:t>
      </w:r>
    </w:p>
    <w:bookmarkEnd w:id="21"/>
    <w:bookmarkStart w:id="22" w:name="scope-of-services-editor-engagement"/>
    <w:p>
      <w:pPr>
        <w:pStyle w:val="Heading2"/>
      </w:pPr>
      <w:r>
        <w:t xml:space="preserve">2. Scope of Services — Editor Engagement</w:t>
      </w:r>
    </w:p>
    <w:p>
      <w:pPr>
        <w:pStyle w:val="FirstParagraph"/>
      </w:pPr>
      <w:r>
        <w:t xml:space="preserve">The following services are included under this Quotation Estimate for the Editor position in United States Miami: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 / Volume</w:t>
            </w:r>
          </w:p>
        </w:tc>
      </w:tr>
      <w:tr>
        <w:tc>
          <w:tcPr/>
          <w:p>
            <w:pPr>
              <w:pStyle w:val="Compact"/>
              <w:jc w:val="left"/>
            </w:pPr>
            <w:r>
              <w:t xml:space="preserve">Editorial Management</w:t>
            </w:r>
          </w:p>
        </w:tc>
        <w:tc>
          <w:tcPr/>
          <w:p>
            <w:pPr>
              <w:pStyle w:val="Compact"/>
              <w:jc w:val="left"/>
            </w:pPr>
            <w:r>
              <w:t xml:space="preserve">Full oversight of content production pipeline, including assignment, review, and final approval of all written materials produced by the Miami-based team.</w:t>
            </w:r>
          </w:p>
        </w:tc>
        <w:tc>
          <w:tcPr/>
          <w:p>
            <w:pPr>
              <w:pStyle w:val="Compact"/>
              <w:jc w:val="left"/>
            </w:pPr>
            <w:r>
              <w:t xml:space="preserve">Full-time, 40 hrs/week</w:t>
            </w:r>
          </w:p>
        </w:tc>
      </w:tr>
      <w:tr>
        <w:tc>
          <w:tcPr/>
          <w:p>
            <w:pPr>
              <w:pStyle w:val="Compact"/>
              <w:jc w:val="left"/>
            </w:pPr>
            <w:r>
              <w:t xml:space="preserve">Copyediting &amp; Proofreading</w:t>
            </w:r>
          </w:p>
        </w:tc>
        <w:tc>
          <w:tcPr/>
          <w:p>
            <w:pPr>
              <w:pStyle w:val="Compact"/>
              <w:jc w:val="left"/>
            </w:pPr>
            <w:r>
              <w:t xml:space="preserve">Detailed line-by-line editing of manuscripts, marketing copy, technical documents, and press releases to ensure grammatical accuracy, stylistic consistency, and brand voice alignment.</w:t>
            </w:r>
          </w:p>
        </w:tc>
        <w:tc>
          <w:tcPr/>
          <w:p>
            <w:pPr>
              <w:pStyle w:val="Compact"/>
              <w:jc w:val="left"/>
            </w:pPr>
            <w:r>
              <w:t xml:space="preserve">Up to 15,000 words/month</w:t>
            </w:r>
          </w:p>
        </w:tc>
      </w:tr>
      <w:tr>
        <w:tc>
          <w:tcPr/>
          <w:p>
            <w:pPr>
              <w:pStyle w:val="Compact"/>
              <w:jc w:val="left"/>
            </w:pPr>
            <w:r>
              <w:t xml:space="preserve">Content Strategy Development</w:t>
            </w:r>
          </w:p>
        </w:tc>
        <w:tc>
          <w:tcPr/>
          <w:p>
            <w:pPr>
              <w:pStyle w:val="Compact"/>
              <w:jc w:val="left"/>
            </w:pPr>
            <w:r>
              <w:t xml:space="preserve">Collaboration with the client's marketing and communications departments in Miami to develop editorial calendars, tone-of-voice guidelines, and content distribution plans.</w:t>
            </w:r>
          </w:p>
        </w:tc>
        <w:tc>
          <w:tcPr/>
          <w:p>
            <w:pPr>
              <w:pStyle w:val="Compact"/>
              <w:jc w:val="left"/>
            </w:pPr>
            <w:r>
              <w:t xml:space="preserve">Quarterly strategy sessions</w:t>
            </w:r>
          </w:p>
        </w:tc>
      </w:tr>
      <w:tr>
        <w:tc>
          <w:tcPr/>
          <w:p>
            <w:pPr>
              <w:pStyle w:val="Compact"/>
              <w:jc w:val="left"/>
            </w:pPr>
            <w:r>
              <w:t xml:space="preserve">Publication Oversight</w:t>
            </w:r>
          </w:p>
        </w:tc>
        <w:tc>
          <w:tcPr/>
          <w:p>
            <w:pPr>
              <w:pStyle w:val="Compact"/>
              <w:jc w:val="left"/>
            </w:pPr>
            <w:r>
              <w:t xml:space="preserve">Management of print and digital publication cycles, including layout review, fact-checking, and final pre-press or pre-publish quality assurance.</w:t>
            </w:r>
          </w:p>
        </w:tc>
        <w:tc>
          <w:tcPr/>
          <w:p>
            <w:pPr>
              <w:pStyle w:val="Compact"/>
              <w:jc w:val="left"/>
            </w:pPr>
            <w:r>
              <w:t xml:space="preserve">As needed, up to 4 cycles/month</w:t>
            </w:r>
          </w:p>
        </w:tc>
      </w:tr>
      <w:tr>
        <w:tc>
          <w:tcPr/>
          <w:p>
            <w:pPr>
              <w:pStyle w:val="Compact"/>
              <w:jc w:val="left"/>
            </w:pPr>
            <w:r>
              <w:t xml:space="preserve">Team Supervision</w:t>
            </w:r>
          </w:p>
        </w:tc>
        <w:tc>
          <w:tcPr/>
          <w:p>
            <w:pPr>
              <w:pStyle w:val="Compact"/>
              <w:jc w:val="left"/>
            </w:pPr>
            <w:r>
              <w:t xml:space="preserve">Direct supervision and mentoring of up to three (3) junior editors or content writers assigned to the Miami office.</w:t>
            </w:r>
          </w:p>
        </w:tc>
        <w:tc>
          <w:tcPr/>
          <w:p>
            <w:pPr>
              <w:pStyle w:val="Compact"/>
              <w:jc w:val="left"/>
            </w:pPr>
            <w:r>
              <w:t xml:space="preserve">Ongoing</w:t>
            </w:r>
          </w:p>
        </w:tc>
      </w:tr>
      <w:tr>
        <w:tc>
          <w:tcPr/>
          <w:p>
            <w:pPr>
              <w:pStyle w:val="Compact"/>
              <w:jc w:val="left"/>
            </w:pPr>
            <w:r>
              <w:t xml:space="preserve">Compliance &amp; Legal Review</w:t>
            </w:r>
          </w:p>
        </w:tc>
        <w:tc>
          <w:tcPr/>
          <w:p>
            <w:pPr>
              <w:pStyle w:val="Compact"/>
              <w:jc w:val="left"/>
            </w:pPr>
            <w:r>
              <w:t xml:space="preserve">Review of all published content for compliance with United States federal regulations, Florida state advertising laws, and industry-specific standards applicable in Miami.</w:t>
            </w:r>
          </w:p>
        </w:tc>
        <w:tc>
          <w:tcPr/>
          <w:p>
            <w:pPr>
              <w:pStyle w:val="Compact"/>
              <w:jc w:val="left"/>
            </w:pPr>
            <w:r>
              <w:t xml:space="preserve">Per publication cycle</w:t>
            </w:r>
          </w:p>
        </w:tc>
      </w:tr>
    </w:tbl>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itemized cost structure for the Editor engagement. All amounts are denominated in United States Dollars (USD) and are subject to the applicable Florida state sales tax and Miami-Dade County surcharges where legally required.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Unit Cost (USD)</w:t>
            </w:r>
          </w:p>
        </w:tc>
        <w:tc>
          <w:tcPr/>
          <w:p>
            <w:pPr>
              <w:pStyle w:val="Compact"/>
              <w:jc w:val="left"/>
            </w:pPr>
            <w:r>
              <w:t xml:space="preserve">Quantity / Period</w:t>
            </w:r>
          </w:p>
        </w:tc>
        <w:tc>
          <w:tcPr/>
          <w:p>
            <w:pPr>
              <w:pStyle w:val="Compact"/>
              <w:jc w:val="left"/>
            </w:pPr>
            <w:r>
              <w:t xml:space="preserve">Subtotal (USD)</w:t>
            </w:r>
          </w:p>
        </w:tc>
      </w:tr>
      <w:tr>
        <w:tc>
          <w:tcPr/>
          <w:p>
            <w:pPr>
              <w:pStyle w:val="Compact"/>
              <w:jc w:val="left"/>
            </w:pPr>
            <w:r>
              <w:t xml:space="preserve">Editor Base Salary (Monthly)</w:t>
            </w:r>
          </w:p>
        </w:tc>
        <w:tc>
          <w:tcPr/>
          <w:p>
            <w:pPr>
              <w:pStyle w:val="Compact"/>
              <w:jc w:val="left"/>
            </w:pPr>
            <w:r>
              <w:t xml:space="preserve">$8,500.00</w:t>
            </w:r>
          </w:p>
        </w:tc>
        <w:tc>
          <w:tcPr/>
          <w:p>
            <w:pPr>
              <w:pStyle w:val="Compact"/>
              <w:jc w:val="left"/>
            </w:pPr>
            <w:r>
              <w:t xml:space="preserve">12 months</w:t>
            </w:r>
          </w:p>
        </w:tc>
        <w:tc>
          <w:tcPr/>
          <w:p>
            <w:pPr>
              <w:pStyle w:val="Compact"/>
              <w:jc w:val="left"/>
            </w:pPr>
            <w:r>
              <w:t xml:space="preserve">$102,000.00</w:t>
            </w:r>
          </w:p>
        </w:tc>
      </w:tr>
      <w:tr>
        <w:tc>
          <w:tcPr/>
          <w:p>
            <w:pPr>
              <w:pStyle w:val="Compact"/>
              <w:jc w:val="left"/>
            </w:pPr>
            <w:r>
              <w:t xml:space="preserve">Editor Benefits &amp; Insurance (Employer Portion)</w:t>
            </w:r>
          </w:p>
        </w:tc>
        <w:tc>
          <w:tcPr/>
          <w:p>
            <w:pPr>
              <w:pStyle w:val="Compact"/>
              <w:jc w:val="left"/>
            </w:pPr>
            <w:r>
              <w:t xml:space="preserve">$1,700.00</w:t>
            </w:r>
          </w:p>
        </w:tc>
        <w:tc>
          <w:tcPr/>
          <w:p>
            <w:pPr>
              <w:pStyle w:val="Compact"/>
              <w:jc w:val="left"/>
            </w:pPr>
            <w:r>
              <w:t xml:space="preserve">12 months</w:t>
            </w:r>
          </w:p>
        </w:tc>
        <w:tc>
          <w:tcPr/>
          <w:p>
            <w:pPr>
              <w:pStyle w:val="Compact"/>
              <w:jc w:val="left"/>
            </w:pPr>
            <w:r>
              <w:t xml:space="preserve">$20,400.00</w:t>
            </w:r>
          </w:p>
        </w:tc>
      </w:tr>
      <w:tr>
        <w:tc>
          <w:tcPr/>
          <w:p>
            <w:pPr>
              <w:pStyle w:val="Compact"/>
              <w:jc w:val="left"/>
            </w:pPr>
            <w:r>
              <w:t xml:space="preserve">Editorial Software &amp; Tools Licensing</w:t>
            </w:r>
          </w:p>
        </w:tc>
        <w:tc>
          <w:tcPr/>
          <w:p>
            <w:pPr>
              <w:pStyle w:val="Compact"/>
              <w:jc w:val="left"/>
            </w:pPr>
            <w:r>
              <w:t xml:space="preserve">$450.00</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Office Space &amp; Equipment (Miami, FL)</w:t>
            </w:r>
          </w:p>
        </w:tc>
        <w:tc>
          <w:tcPr/>
          <w:p>
            <w:pPr>
              <w:pStyle w:val="Compact"/>
              <w:jc w:val="left"/>
            </w:pPr>
            <w:r>
              <w:t xml:space="preserve">$1,200.00</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Professional Development &amp; Training</w:t>
            </w:r>
          </w:p>
        </w:tc>
        <w:tc>
          <w:tcPr/>
          <w:p>
            <w:pPr>
              <w:pStyle w:val="Compact"/>
              <w:jc w:val="left"/>
            </w:pPr>
            <w:r>
              <w:t xml:space="preserve">$2,500.00</w:t>
            </w:r>
          </w:p>
        </w:tc>
        <w:tc>
          <w:tcPr/>
          <w:p>
            <w:pPr>
              <w:pStyle w:val="Compact"/>
              <w:jc w:val="left"/>
            </w:pPr>
            <w:r>
              <w:t xml:space="preserve">1 year</w:t>
            </w:r>
          </w:p>
        </w:tc>
        <w:tc>
          <w:tcPr/>
          <w:p>
            <w:pPr>
              <w:pStyle w:val="Compact"/>
              <w:jc w:val="left"/>
            </w:pPr>
            <w:r>
              <w:t xml:space="preserve">$2,500.00</w:t>
            </w:r>
          </w:p>
        </w:tc>
      </w:tr>
      <w:tr>
        <w:tc>
          <w:tcPr/>
          <w:p>
            <w:pPr>
              <w:pStyle w:val="Compact"/>
              <w:jc w:val="left"/>
            </w:pPr>
            <w:r>
              <w:t xml:space="preserve">Administrative &amp; Compliance Fees</w:t>
            </w:r>
          </w:p>
        </w:tc>
        <w:tc>
          <w:tcPr/>
          <w:p>
            <w:pPr>
              <w:pStyle w:val="Compact"/>
              <w:jc w:val="left"/>
            </w:pPr>
            <w:r>
              <w:t xml:space="preserve">$1,800.00</w:t>
            </w:r>
          </w:p>
        </w:tc>
        <w:tc>
          <w:tcPr/>
          <w:p>
            <w:pPr>
              <w:pStyle w:val="Compact"/>
              <w:jc w:val="left"/>
            </w:pPr>
            <w:r>
              <w:t xml:space="preserve">1 year</w:t>
            </w:r>
          </w:p>
        </w:tc>
        <w:tc>
          <w:tcPr/>
          <w:p>
            <w:pPr>
              <w:pStyle w:val="Compact"/>
              <w:jc w:val="left"/>
            </w:pPr>
            <w:r>
              <w:t xml:space="preserve">$1,800.00</w:t>
            </w:r>
          </w:p>
        </w:tc>
      </w:tr>
      <w:tr>
        <w:tc>
          <w:tcPr/>
          <w:p>
            <w:pPr>
              <w:pStyle w:val="Compact"/>
              <w:jc w:val="left"/>
            </w:pPr>
            <w:r>
              <w:t xml:space="preserve">Contingency Allowance (5%)</w:t>
            </w:r>
          </w:p>
        </w:tc>
        <w:tc>
          <w:tcPr/>
          <w:p>
            <w:pPr>
              <w:pStyle w:val="Compact"/>
              <w:jc w:val="left"/>
            </w:pPr>
            <w:r>
              <w:t xml:space="preserve">—</w:t>
            </w:r>
          </w:p>
        </w:tc>
        <w:tc>
          <w:tcPr/>
          <w:p>
            <w:pPr>
              <w:pStyle w:val="Compact"/>
              <w:jc w:val="left"/>
            </w:pPr>
            <w:r>
              <w:t xml:space="preserve">—</w:t>
            </w:r>
          </w:p>
        </w:tc>
        <w:tc>
          <w:tcPr/>
          <w:p>
            <w:pPr>
              <w:pStyle w:val="Compact"/>
              <w:jc w:val="left"/>
            </w:pPr>
            <w:r>
              <w:t xml:space="preserve">$7,075.00</w:t>
            </w:r>
          </w:p>
        </w:tc>
      </w:tr>
      <w:tr>
        <w:tc>
          <w:tcPr>
            <w:gridSpan w:val="3"/>
          </w:tcPr>
          <w:p>
            <w:pPr>
              <w:pStyle w:val="Compact"/>
              <w:jc w:val="left"/>
            </w:pPr>
            <w:r>
              <w:t xml:space="preserve">TOTAL ESTIMATED ANNUAL COST (USD)</w:t>
            </w:r>
          </w:p>
        </w:tc>
        <w:tc>
          <w:tcPr/>
          <w:p>
            <w:pPr>
              <w:pStyle w:val="Compact"/>
              <w:jc w:val="left"/>
            </w:pPr>
            <w:r>
              <w:t xml:space="preserve">$153,575.00</w:t>
            </w:r>
          </w:p>
        </w:tc>
      </w:tr>
    </w:tbl>
    <w:p>
      <w:pPr>
        <w:pStyle w:val="BodyText"/>
      </w:pPr>
      <w:r>
        <w:rPr>
          <w:bCs/>
          <w:b/>
        </w:rPr>
        <w:t xml:space="preserve">Note:</w:t>
      </w:r>
      <w:r>
        <w:t xml:space="preserve"> </w:t>
      </w:r>
      <w:r>
        <w:t xml:space="preserve">This Quotation Estimate does not include United States federal income tax withholding, Social Security, Medicare, or Florida state-specific payroll deductions, which will be processed in accordance with applicable IRS and Florida Department of Revenue guidelines. The Editor will be classified as a W-2 employee of the client entity registered in Miami, Florida, United States.</w:t>
      </w:r>
    </w:p>
    <w:bookmarkEnd w:id="23"/>
    <w:bookmarkStart w:id="24" w:name="project-timeline-milestones"/>
    <w:p>
      <w:pPr>
        <w:pStyle w:val="Heading2"/>
      </w:pPr>
      <w:r>
        <w:t xml:space="preserve">4. Project Timeline &amp; Milestones</w:t>
      </w:r>
    </w:p>
    <w:p>
      <w:pPr>
        <w:pStyle w:val="FirstParagraph"/>
      </w:pPr>
      <w:r>
        <w:t xml:space="preserve">The Editor engagement in United States Miami is structured over a twelve (12) month initial term, commencing on the date of mutual contract execution. Key milestones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Editor Onboarding &amp; Orientation</w:t>
            </w:r>
          </w:p>
        </w:tc>
        <w:tc>
          <w:tcPr/>
          <w:p>
            <w:pPr>
              <w:pStyle w:val="Compact"/>
              <w:jc w:val="left"/>
            </w:pPr>
            <w:r>
              <w:t xml:space="preserve">Week 1–2</w:t>
            </w:r>
          </w:p>
        </w:tc>
        <w:tc>
          <w:tcPr/>
          <w:p>
            <w:pPr>
              <w:pStyle w:val="Compact"/>
              <w:jc w:val="left"/>
            </w:pPr>
            <w:r>
              <w:t xml:space="preserve">Completed onboarding checklist, access to all editorial systems</w:t>
            </w:r>
          </w:p>
        </w:tc>
      </w:tr>
      <w:tr>
        <w:tc>
          <w:tcPr/>
          <w:p>
            <w:pPr>
              <w:pStyle w:val="Compact"/>
              <w:jc w:val="left"/>
            </w:pPr>
            <w:r>
              <w:t xml:space="preserve">First Editorial Audit</w:t>
            </w:r>
          </w:p>
        </w:tc>
        <w:tc>
          <w:tcPr/>
          <w:p>
            <w:pPr>
              <w:pStyle w:val="Compact"/>
              <w:jc w:val="left"/>
            </w:pPr>
            <w:r>
              <w:t xml:space="preserve">End of Month 1</w:t>
            </w:r>
          </w:p>
        </w:tc>
        <w:tc>
          <w:tcPr/>
          <w:p>
            <w:pPr>
              <w:pStyle w:val="Compact"/>
              <w:jc w:val="left"/>
            </w:pPr>
            <w:r>
              <w:t xml:space="preserve">Written report on current content quality and workflow gaps</w:t>
            </w:r>
          </w:p>
        </w:tc>
      </w:tr>
      <w:tr>
        <w:tc>
          <w:tcPr/>
          <w:p>
            <w:pPr>
              <w:pStyle w:val="Compact"/>
              <w:jc w:val="left"/>
            </w:pPr>
            <w:r>
              <w:t xml:space="preserve">Content Strategy Delivery</w:t>
            </w:r>
          </w:p>
        </w:tc>
        <w:tc>
          <w:tcPr/>
          <w:p>
            <w:pPr>
              <w:pStyle w:val="Compact"/>
              <w:jc w:val="left"/>
            </w:pPr>
            <w:r>
              <w:t xml:space="preserve">End of Month 3</w:t>
            </w:r>
          </w:p>
        </w:tc>
        <w:tc>
          <w:tcPr/>
          <w:p>
            <w:pPr>
              <w:pStyle w:val="Compact"/>
              <w:jc w:val="left"/>
            </w:pPr>
            <w:r>
              <w:t xml:space="preserve">Annual editorial calendar and style guide for Miami operations</w:t>
            </w:r>
          </w:p>
        </w:tc>
      </w:tr>
      <w:tr>
        <w:tc>
          <w:tcPr/>
          <w:p>
            <w:pPr>
              <w:pStyle w:val="Compact"/>
              <w:jc w:val="left"/>
            </w:pPr>
            <w:r>
              <w:t xml:space="preserve">Mid-Term Performance Review</w:t>
            </w:r>
          </w:p>
        </w:tc>
        <w:tc>
          <w:tcPr/>
          <w:p>
            <w:pPr>
              <w:pStyle w:val="Compact"/>
              <w:jc w:val="left"/>
            </w:pPr>
            <w:r>
              <w:t xml:space="preserve">Month 6</w:t>
            </w:r>
          </w:p>
        </w:tc>
        <w:tc>
          <w:tcPr/>
          <w:p>
            <w:pPr>
              <w:pStyle w:val="Compact"/>
              <w:jc w:val="left"/>
            </w:pPr>
            <w:r>
              <w:t xml:space="preserve">Formal performance evaluation and goal adjustment</w:t>
            </w:r>
          </w:p>
        </w:tc>
      </w:tr>
      <w:tr>
        <w:tc>
          <w:tcPr/>
          <w:p>
            <w:pPr>
              <w:pStyle w:val="Compact"/>
              <w:jc w:val="left"/>
            </w:pPr>
            <w:r>
              <w:t xml:space="preserve">Annual Report &amp; Renewal Assessment</w:t>
            </w:r>
          </w:p>
        </w:tc>
        <w:tc>
          <w:tcPr/>
          <w:p>
            <w:pPr>
              <w:pStyle w:val="Compact"/>
              <w:jc w:val="left"/>
            </w:pPr>
            <w:r>
              <w:t xml:space="preserve">Month 12</w:t>
            </w:r>
          </w:p>
        </w:tc>
        <w:tc>
          <w:tcPr/>
          <w:p>
            <w:pPr>
              <w:pStyle w:val="Compact"/>
              <w:jc w:val="left"/>
            </w:pPr>
            <w:r>
              <w:t xml:space="preserve">Comprehensive year-end editorial performance report</w:t>
            </w:r>
          </w:p>
        </w:tc>
      </w:tr>
    </w:tbl>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thirty (30) calendar days from the date of issue. After the expiration date, all pricing and terms are subject to revision based on prevailing labor market conditions in United States Miami.</w:t>
      </w:r>
    </w:p>
    <w:p>
      <w:pPr>
        <w:pStyle w:val="BodyText"/>
      </w:pPr>
      <w:r>
        <w:rPr>
          <w:bCs/>
          <w:b/>
        </w:rPr>
        <w:t xml:space="preserve">5.2 Payment Terms:</w:t>
      </w:r>
      <w:r>
        <w:t xml:space="preserve"> </w:t>
      </w:r>
      <w:r>
        <w:t xml:space="preserve">Invoicing will be conducted on a monthly basis, with payment due within thirty (30) days of invoice receipt. Late payments shall accrue interest at a rate of 1.5% per month, in compliance with Florida commercial transaction statutes.</w:t>
      </w:r>
    </w:p>
    <w:p>
      <w:pPr>
        <w:pStyle w:val="BodyText"/>
      </w:pPr>
      <w:r>
        <w:rPr>
          <w:bCs/>
          <w:b/>
        </w:rPr>
        <w:t xml:space="preserve">5.3 Termination:</w:t>
      </w:r>
      <w:r>
        <w:t xml:space="preserve"> </w:t>
      </w:r>
      <w:r>
        <w:t xml:space="preserve">Either party may terminate the Editor engagement with a written notice of sixty (60) days. In the event of termination for cause, the notice period shall be reduced to fourteen (14) days.</w:t>
      </w:r>
    </w:p>
    <w:p>
      <w:pPr>
        <w:pStyle w:val="BodyText"/>
      </w:pPr>
      <w:r>
        <w:rPr>
          <w:bCs/>
          <w:b/>
        </w:rPr>
        <w:t xml:space="preserve">5.4 Confidentiality:</w:t>
      </w:r>
      <w:r>
        <w:t xml:space="preserve"> </w:t>
      </w:r>
      <w:r>
        <w:t xml:space="preserve">The Editor shall be bound by a Non-Disclosure Agreement (NDA) covering all proprietary information, unpublished manuscripts, and client data encountered during the engagement in Miami, Florida.</w:t>
      </w:r>
    </w:p>
    <w:p>
      <w:pPr>
        <w:pStyle w:val="BodyText"/>
      </w:pPr>
      <w:r>
        <w:rPr>
          <w:bCs/>
          <w:b/>
        </w:rPr>
        <w:t xml:space="preserve">5.5 Governing Law:</w:t>
      </w:r>
      <w:r>
        <w:t xml:space="preserve"> </w:t>
      </w:r>
      <w:r>
        <w:t xml:space="preserve">This Quotation Estimate and any resulting contract shall be governed by and construed in accordance with the laws of the State of Florida, United States, and the applicable federal laws of the United States of America. Any disputes shall be resolved through binding arbitration in Miami-Dade County, Florida.</w:t>
      </w:r>
    </w:p>
    <w:p>
      <w:pPr>
        <w:pStyle w:val="BodyText"/>
      </w:pPr>
      <w:r>
        <w:rPr>
          <w:bCs/>
          <w:b/>
        </w:rPr>
        <w:t xml:space="preserve">5.6 Intellectual Property:</w:t>
      </w:r>
      <w:r>
        <w:t xml:space="preserve"> </w:t>
      </w:r>
      <w:r>
        <w:t xml:space="preserve">All editorial work product, strategies, and materials created by the Editor during the course of employment shall be the sole property of the client, in accordance with United States copyright law and the work-for-hire doctrine.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Editor services in United States Miami and agrees to the terms, conditions, and pricing outlined herein. This signature constitutes formal acceptance and authorizes Atlantic Editorial Solutions LLC to proceed with the Editor recruitment and onboarding process.</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Atlantic Editorial Solutions LLC:</w:t>
      </w:r>
    </w:p>
    <w:p>
      <w:pPr>
        <w:pStyle w:val="BodyText"/>
      </w:pPr>
      <w:r>
        <w:t xml:space="preserve">Name: ______________________________</w:t>
      </w:r>
      <w:r>
        <w:br/>
      </w:r>
      <w:r>
        <w:t xml:space="preserve">Title: ______________________________</w:t>
      </w:r>
      <w:r>
        <w:br/>
      </w:r>
      <w:r>
        <w:t xml:space="preserve">Date: ______________________________</w:t>
      </w:r>
    </w:p>
    <w:p>
      <w:pPr>
        <w:pStyle w:val="BodyText"/>
      </w:pPr>
      <w:r>
        <w:t xml:space="preserve">Atlantic Editorial Solutions LLC • 1200 Biscayne Boulevard, Suite 450, Miami, FL 33132, United States</w:t>
      </w:r>
      <w:r>
        <w:br/>
      </w:r>
      <w:r>
        <w:t xml:space="preserve">Phone: (305) 555-0198 • Email: quotations@atlanticeditorial.com • EIN: 82-XXXXXXX</w:t>
      </w:r>
      <w:r>
        <w:br/>
      </w:r>
      <w:r>
        <w:t xml:space="preserve">This Quotation Estimate is a confidential business document intended solely for the named client. Unauthorized distribution is prohibited under United States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United States Miami</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