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Editor</w:t>
      </w:r>
      <w:r>
        <w:t xml:space="preserve"> </w:t>
      </w:r>
      <w:r>
        <w:t xml:space="preserve">Services</w:t>
      </w:r>
      <w:r>
        <w:t xml:space="preserve"> </w:t>
      </w:r>
      <w:r>
        <w:t xml:space="preserve">-</w:t>
      </w:r>
      <w:r>
        <w:t xml:space="preserve"> </w:t>
      </w:r>
      <w:r>
        <w:t xml:space="preserve">Venezuela</w:t>
      </w:r>
      <w:r>
        <w:t xml:space="preserve"> </w:t>
      </w:r>
      <w:r>
        <w:t xml:space="preserve">Caracas</w:t>
      </w:r>
    </w:p>
    <w:bookmarkStart w:id="20" w:name="quotation-estimate"/>
    <w:p>
      <w:pPr>
        <w:pStyle w:val="Heading1"/>
      </w:pPr>
      <w:r>
        <w:t xml:space="preserve">QUOTATION ESTIMATE</w:t>
      </w:r>
    </w:p>
    <w:p>
      <w:pPr>
        <w:pStyle w:val="FirstParagraph"/>
      </w:pPr>
      <w:r>
        <w:t xml:space="preserve">Professional Editor Services — Venezuela, Caracas</w:t>
      </w:r>
    </w:p>
    <w:bookmarkEnd w:id="20"/>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No.:</w:t>
            </w:r>
          </w:p>
        </w:tc>
        <w:tc>
          <w:tcPr/>
          <w:p>
            <w:pPr>
              <w:pStyle w:val="Compact"/>
              <w:jc w:val="left"/>
            </w:pPr>
            <w:r>
              <w:t xml:space="preserve">QTE-VE-2025-04871</w:t>
            </w:r>
          </w:p>
        </w:tc>
      </w:tr>
      <w:tr>
        <w:tc>
          <w:tcPr/>
          <w:p>
            <w:pPr>
              <w:pStyle w:val="Compact"/>
              <w:jc w:val="left"/>
            </w:pPr>
            <w:r>
              <w:t xml:space="preserve">Date of Issue:</w:t>
            </w:r>
          </w:p>
        </w:tc>
        <w:tc>
          <w:tcPr/>
          <w:p>
            <w:pPr>
              <w:pStyle w:val="Compact"/>
              <w:jc w:val="left"/>
            </w:pPr>
            <w:r>
              <w:t xml:space="preserve">June 12, 2025</w:t>
            </w:r>
          </w:p>
        </w:tc>
      </w:tr>
      <w:tr>
        <w:tc>
          <w:tcPr/>
          <w:p>
            <w:pPr>
              <w:pStyle w:val="Compact"/>
              <w:jc w:val="left"/>
            </w:pPr>
            <w:r>
              <w:t xml:space="preserve">Validity Period:</w:t>
            </w:r>
          </w:p>
        </w:tc>
        <w:tc>
          <w:tcPr/>
          <w:p>
            <w:pPr>
              <w:pStyle w:val="Compact"/>
              <w:jc w:val="left"/>
            </w:pPr>
            <w:r>
              <w:t xml:space="preserve">30 calendar days from the date of issue</w:t>
            </w:r>
          </w:p>
        </w:tc>
      </w:tr>
      <w:tr>
        <w:tc>
          <w:tcPr/>
          <w:p>
            <w:pPr>
              <w:pStyle w:val="Compact"/>
              <w:jc w:val="left"/>
            </w:pPr>
            <w:r>
              <w:t xml:space="preserve">Service Location:</w:t>
            </w:r>
          </w:p>
        </w:tc>
        <w:tc>
          <w:tcPr/>
          <w:p>
            <w:pPr>
              <w:pStyle w:val="Compact"/>
              <w:jc w:val="left"/>
            </w:pPr>
            <w:r>
              <w:t xml:space="preserve">Caracas, Venezuela — Metropolitan District (Distrito Capital)</w:t>
            </w:r>
          </w:p>
        </w:tc>
      </w:tr>
      <w:tr>
        <w:tc>
          <w:tcPr/>
          <w:p>
            <w:pPr>
              <w:pStyle w:val="Compact"/>
              <w:jc w:val="left"/>
            </w:pPr>
            <w:r>
              <w:t xml:space="preserve">Prepared By:</w:t>
            </w:r>
          </w:p>
        </w:tc>
        <w:tc>
          <w:tcPr/>
          <w:p>
            <w:pPr>
              <w:pStyle w:val="Compact"/>
              <w:jc w:val="left"/>
            </w:pPr>
            <w:r>
              <w:t xml:space="preserve">Meridian Creative Solutions, C.A. — RIF: J-45871236-9</w:t>
            </w:r>
          </w:p>
        </w:tc>
      </w:tr>
      <w:tr>
        <w:tc>
          <w:tcPr/>
          <w:p>
            <w:pPr>
              <w:pStyle w:val="Compact"/>
              <w:jc w:val="left"/>
            </w:pPr>
            <w:r>
              <w:t xml:space="preserve">Client:</w:t>
            </w:r>
          </w:p>
        </w:tc>
        <w:tc>
          <w:tcPr/>
          <w:p>
            <w:pPr>
              <w:pStyle w:val="Compact"/>
              <w:jc w:val="left"/>
            </w:pPr>
            <w:r>
              <w:t xml:space="preserve">Grupo Andino Producciones, C.A. — RIF: J-32984571-2</w:t>
            </w:r>
          </w:p>
        </w:tc>
      </w:tr>
      <w:tr>
        <w:tc>
          <w:tcPr/>
          <w:p>
            <w:pPr>
              <w:pStyle w:val="Compact"/>
              <w:jc w:val="left"/>
            </w:pPr>
            <w:r>
              <w:t xml:space="preserve">Client Address:</w:t>
            </w:r>
          </w:p>
        </w:tc>
        <w:tc>
          <w:tcPr/>
          <w:p>
            <w:pPr>
              <w:pStyle w:val="Compact"/>
              <w:jc w:val="left"/>
            </w:pPr>
            <w:r>
              <w:t xml:space="preserve">Av. Francisco de Miranda, Torre Empresarial, Piso 14, Chacao, Caracas, Venezuela</w:t>
            </w:r>
          </w:p>
        </w:tc>
      </w:tr>
      <w:tr>
        <w:tc>
          <w:tcPr/>
          <w:p>
            <w:pPr>
              <w:pStyle w:val="Compact"/>
              <w:jc w:val="left"/>
            </w:pPr>
            <w:r>
              <w:t xml:space="preserve">Currency:</w:t>
            </w:r>
          </w:p>
        </w:tc>
        <w:tc>
          <w:tcPr/>
          <w:p>
            <w:pPr>
              <w:pStyle w:val="Compact"/>
              <w:jc w:val="left"/>
            </w:pPr>
            <w:r>
              <w:t xml:space="preserve">United States Dollars (USD) — subject to BCV exchange rate on payment date</w:t>
            </w:r>
          </w:p>
        </w:tc>
      </w:tr>
    </w:tbl>
    <w:bookmarkStart w:id="21" w:name="purpose-of-this-quotation-estimate"/>
    <w:p>
      <w:pPr>
        <w:pStyle w:val="Heading2"/>
      </w:pPr>
      <w:r>
        <w:t xml:space="preserve">1. Purpose of This Quotation Estimate</w:t>
      </w:r>
    </w:p>
    <w:p>
      <w:pPr>
        <w:pStyle w:val="FirstParagraph"/>
      </w:pPr>
      <w:r>
        <w:t xml:space="preserve">This Quotation Estimate is formally issued by Meridian Creative Solutions, C.A. to Grupo Andino Producciones, C.A., for the provision of a dedicated</w:t>
      </w:r>
      <w:r>
        <w:t xml:space="preserve"> </w:t>
      </w:r>
      <w:r>
        <w:t xml:space="preserve">Editor</w:t>
      </w:r>
      <w:r>
        <w:t xml:space="preserve"> </w:t>
      </w:r>
      <w:r>
        <w:t xml:space="preserve">professional and associated editing infrastructure to be deployed and utilized in</w:t>
      </w:r>
      <w:r>
        <w:t xml:space="preserve"> </w:t>
      </w:r>
      <w:r>
        <w:t xml:space="preserve">Venezuela, Caracas</w:t>
      </w:r>
      <w:r>
        <w:t xml:space="preserve">. This document outlines the complete scope of work, itemized costs, delivery schedule, and contractual terms governing the engagement. All pricing presented in this Quotation Estimate reflects the specific operational conditions, tax regulations, and logistical requirements applicable to the Caracas metropolitan area and the broader Venezuelan market.</w:t>
      </w:r>
    </w:p>
    <w:bookmarkEnd w:id="21"/>
    <w:bookmarkStart w:id="22" w:name="Xf70558f9693bfbe7c0bb0b4096d74e0be3e626f"/>
    <w:p>
      <w:pPr>
        <w:pStyle w:val="Heading2"/>
      </w:pPr>
      <w:r>
        <w:t xml:space="preserve">2. Scope of Work — Editor Services in Venezuela, Caracas</w:t>
      </w:r>
    </w:p>
    <w:p>
      <w:pPr>
        <w:pStyle w:val="FirstParagraph"/>
      </w:pPr>
      <w:r>
        <w:t xml:space="preserve">The</w:t>
      </w:r>
      <w:r>
        <w:t xml:space="preserve"> </w:t>
      </w:r>
      <w:r>
        <w:t xml:space="preserve">Editor</w:t>
      </w:r>
      <w:r>
        <w:t xml:space="preserve"> </w:t>
      </w:r>
      <w:r>
        <w:t xml:space="preserve">engagement encompasses the following deliverables and responsibilities, all to be executed on-site or remotely with primary operations centered in Caracas, Venezuela:</w:t>
      </w:r>
    </w:p>
    <w:p>
      <w:pPr>
        <w:numPr>
          <w:ilvl w:val="0"/>
          <w:numId w:val="1001"/>
        </w:numPr>
        <w:pStyle w:val="Compact"/>
      </w:pPr>
      <w:r>
        <w:rPr>
          <w:bCs/>
          <w:b/>
        </w:rPr>
        <w:t xml:space="preserve">Senior Video Editor (Full-Time, 6 months):</w:t>
      </w:r>
      <w:r>
        <w:t xml:space="preserve"> </w:t>
      </w:r>
      <w:r>
        <w:t xml:space="preserve">A certified professional Editor specializing in post-production for broadcast television, digital streaming platforms, and corporate communications. The Editor will be physically based in the client’s facility in Chacao, Caracas, Venezuela, working Monday through Friday, 8:00 AM to 5:00 PM (Venezuelan Standard Time, UTC-4).</w:t>
      </w:r>
    </w:p>
    <w:p>
      <w:pPr>
        <w:numPr>
          <w:ilvl w:val="0"/>
          <w:numId w:val="1001"/>
        </w:numPr>
        <w:pStyle w:val="Compact"/>
      </w:pPr>
      <w:r>
        <w:rPr>
          <w:bCs/>
          <w:b/>
        </w:rPr>
        <w:t xml:space="preserve">Editorial Software Licensing:</w:t>
      </w:r>
      <w:r>
        <w:t xml:space="preserve"> </w:t>
      </w:r>
      <w:r>
        <w:t xml:space="preserve">Provision of perpetual licenses for Adobe Premiere Pro, DaVinci Resolve Studio, and After Effects, configured and installed on dedicated workstations located in Caracas, Venezuela. Includes one year of priority technical support.</w:t>
      </w:r>
    </w:p>
    <w:p>
      <w:pPr>
        <w:numPr>
          <w:ilvl w:val="0"/>
          <w:numId w:val="1001"/>
        </w:numPr>
        <w:pStyle w:val="Compact"/>
      </w:pPr>
      <w:r>
        <w:rPr>
          <w:bCs/>
          <w:b/>
        </w:rPr>
        <w:t xml:space="preserve">Post-Production Infrastructure Setup:</w:t>
      </w:r>
      <w:r>
        <w:t xml:space="preserve"> </w:t>
      </w:r>
      <w:r>
        <w:t xml:space="preserve">Installation and calibration of a 4K editing suite in the client’s Caracas office, including dual 27-inch color-calibrated monitors, hardware-accelerated GPU workstations, and a 100TB RAID storage array for project media management.</w:t>
      </w:r>
    </w:p>
    <w:p>
      <w:pPr>
        <w:numPr>
          <w:ilvl w:val="0"/>
          <w:numId w:val="1001"/>
        </w:numPr>
        <w:pStyle w:val="Compact"/>
      </w:pPr>
      <w:r>
        <w:rPr>
          <w:bCs/>
          <w:b/>
        </w:rPr>
        <w:t xml:space="preserve">Color Grading &amp; Audio Post-Production:</w:t>
      </w:r>
      <w:r>
        <w:t xml:space="preserve"> </w:t>
      </w:r>
      <w:r>
        <w:t xml:space="preserve">The Editor will perform full color correction, audio mixing, subtitle integration (Spanish and English), and final export in all formats required by Venezuelan broadcast standards (NTSC) and international digital delivery specifications.</w:t>
      </w:r>
    </w:p>
    <w:p>
      <w:pPr>
        <w:numPr>
          <w:ilvl w:val="0"/>
          <w:numId w:val="1001"/>
        </w:numPr>
        <w:pStyle w:val="Compact"/>
      </w:pPr>
      <w:r>
        <w:rPr>
          <w:bCs/>
          <w:b/>
        </w:rPr>
        <w:t xml:space="preserve">Project Management &amp; Coordination:</w:t>
      </w:r>
      <w:r>
        <w:t xml:space="preserve"> </w:t>
      </w:r>
      <w:r>
        <w:t xml:space="preserve">Weekly editorial meetings, progress reporting, and direct coordination with the client’s creative director in Caracas, Venezuela. All communications and deliverable handoffs will occur within the local business framework of Venezuela.</w:t>
      </w:r>
    </w:p>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Duration / Qty</w:t>
            </w:r>
          </w:p>
        </w:tc>
        <w:tc>
          <w:tcPr/>
          <w:p>
            <w:pPr>
              <w:pStyle w:val="Compact"/>
              <w:jc w:val="left"/>
            </w:pPr>
            <w:r>
              <w:t xml:space="preserve">Unit Cost (USD)</w:t>
            </w:r>
          </w:p>
        </w:tc>
        <w:tc>
          <w:tcPr/>
          <w:p>
            <w:pPr>
              <w:pStyle w:val="Compact"/>
              <w:jc w:val="left"/>
            </w:pPr>
            <w:r>
              <w:t xml:space="preserve">Total (USD)</w:t>
            </w:r>
          </w:p>
        </w:tc>
      </w:tr>
      <w:tr>
        <w:tc>
          <w:tcPr/>
          <w:p>
            <w:pPr>
              <w:pStyle w:val="Compact"/>
              <w:jc w:val="left"/>
            </w:pPr>
            <w:r>
              <w:t xml:space="preserve">01</w:t>
            </w:r>
          </w:p>
        </w:tc>
        <w:tc>
          <w:tcPr/>
          <w:p>
            <w:pPr>
              <w:pStyle w:val="Compact"/>
              <w:jc w:val="left"/>
            </w:pPr>
            <w:r>
              <w:t xml:space="preserve">Senior Editor — Monthly Professional Fee (Caracas, Venezuela on-site)</w:t>
            </w:r>
          </w:p>
        </w:tc>
        <w:tc>
          <w:tcPr/>
          <w:p>
            <w:pPr>
              <w:pStyle w:val="Compact"/>
              <w:jc w:val="left"/>
            </w:pPr>
            <w:r>
              <w:t xml:space="preserve">6 months</w:t>
            </w:r>
          </w:p>
        </w:tc>
        <w:tc>
          <w:tcPr/>
          <w:p>
            <w:pPr>
              <w:pStyle w:val="Compact"/>
              <w:jc w:val="left"/>
            </w:pPr>
            <w:r>
              <w:t xml:space="preserve">$4,200.00</w:t>
            </w:r>
          </w:p>
        </w:tc>
        <w:tc>
          <w:tcPr/>
          <w:p>
            <w:pPr>
              <w:pStyle w:val="Compact"/>
              <w:jc w:val="left"/>
            </w:pPr>
            <w:r>
              <w:t xml:space="preserve">$25,200.00</w:t>
            </w:r>
          </w:p>
        </w:tc>
      </w:tr>
      <w:tr>
        <w:tc>
          <w:tcPr/>
          <w:p>
            <w:pPr>
              <w:pStyle w:val="Compact"/>
              <w:jc w:val="left"/>
            </w:pPr>
            <w:r>
              <w:t xml:space="preserve">02</w:t>
            </w:r>
          </w:p>
        </w:tc>
        <w:tc>
          <w:tcPr/>
          <w:p>
            <w:pPr>
              <w:pStyle w:val="Compact"/>
              <w:jc w:val="left"/>
            </w:pPr>
            <w:r>
              <w:t xml:space="preserve">Editorial Software Licenses (Premiere Pro, DaVinci Resolve, After Effects)</w:t>
            </w:r>
          </w:p>
        </w:tc>
        <w:tc>
          <w:tcPr/>
          <w:p>
            <w:pPr>
              <w:pStyle w:val="Compact"/>
              <w:jc w:val="left"/>
            </w:pPr>
            <w:r>
              <w:t xml:space="preserve">3 licenses</w:t>
            </w:r>
          </w:p>
        </w:tc>
        <w:tc>
          <w:tcPr/>
          <w:p>
            <w:pPr>
              <w:pStyle w:val="Compact"/>
              <w:jc w:val="left"/>
            </w:pPr>
            <w:r>
              <w:t xml:space="preserve">$1,850.00</w:t>
            </w:r>
          </w:p>
        </w:tc>
        <w:tc>
          <w:tcPr/>
          <w:p>
            <w:pPr>
              <w:pStyle w:val="Compact"/>
              <w:jc w:val="left"/>
            </w:pPr>
            <w:r>
              <w:t xml:space="preserve">$5,550.00</w:t>
            </w:r>
          </w:p>
        </w:tc>
      </w:tr>
      <w:tr>
        <w:tc>
          <w:tcPr/>
          <w:p>
            <w:pPr>
              <w:pStyle w:val="Compact"/>
              <w:jc w:val="left"/>
            </w:pPr>
            <w:r>
              <w:t xml:space="preserve">03</w:t>
            </w:r>
          </w:p>
        </w:tc>
        <w:tc>
          <w:tcPr/>
          <w:p>
            <w:pPr>
              <w:pStyle w:val="Compact"/>
              <w:jc w:val="left"/>
            </w:pPr>
            <w:r>
              <w:t xml:space="preserve">Post-Production Workstation Setup (2x GPU Workstations, Monitors, RAID Storage)</w:t>
            </w:r>
          </w:p>
        </w:tc>
        <w:tc>
          <w:tcPr/>
          <w:p>
            <w:pPr>
              <w:pStyle w:val="Compact"/>
              <w:jc w:val="left"/>
            </w:pPr>
            <w:r>
              <w:t xml:space="preserve">1 suite</w:t>
            </w:r>
          </w:p>
        </w:tc>
        <w:tc>
          <w:tcPr/>
          <w:p>
            <w:pPr>
              <w:pStyle w:val="Compact"/>
              <w:jc w:val="left"/>
            </w:pPr>
            <w:r>
              <w:t xml:space="preserve">$12,400.00</w:t>
            </w:r>
          </w:p>
        </w:tc>
        <w:tc>
          <w:tcPr/>
          <w:p>
            <w:pPr>
              <w:pStyle w:val="Compact"/>
              <w:jc w:val="left"/>
            </w:pPr>
            <w:r>
              <w:t xml:space="preserve">$12,400.00</w:t>
            </w:r>
          </w:p>
        </w:tc>
      </w:tr>
      <w:tr>
        <w:tc>
          <w:tcPr/>
          <w:p>
            <w:pPr>
              <w:pStyle w:val="Compact"/>
              <w:jc w:val="left"/>
            </w:pPr>
            <w:r>
              <w:t xml:space="preserve">04</w:t>
            </w:r>
          </w:p>
        </w:tc>
        <w:tc>
          <w:tcPr/>
          <w:p>
            <w:pPr>
              <w:pStyle w:val="Compact"/>
              <w:jc w:val="left"/>
            </w:pPr>
            <w:r>
              <w:t xml:space="preserve">Color Grading &amp; Audio Post-Production (per project, estimated 12 projects)</w:t>
            </w:r>
          </w:p>
        </w:tc>
        <w:tc>
          <w:tcPr/>
          <w:p>
            <w:pPr>
              <w:pStyle w:val="Compact"/>
              <w:jc w:val="left"/>
            </w:pPr>
            <w:r>
              <w:t xml:space="preserve">12 projects</w:t>
            </w:r>
          </w:p>
        </w:tc>
        <w:tc>
          <w:tcPr/>
          <w:p>
            <w:pPr>
              <w:pStyle w:val="Compact"/>
              <w:jc w:val="left"/>
            </w:pPr>
            <w:r>
              <w:t xml:space="preserve">$1,100.00</w:t>
            </w:r>
          </w:p>
        </w:tc>
        <w:tc>
          <w:tcPr/>
          <w:p>
            <w:pPr>
              <w:pStyle w:val="Compact"/>
              <w:jc w:val="left"/>
            </w:pPr>
            <w:r>
              <w:t xml:space="preserve">$13,200.00</w:t>
            </w:r>
          </w:p>
        </w:tc>
      </w:tr>
      <w:tr>
        <w:tc>
          <w:tcPr/>
          <w:p>
            <w:pPr>
              <w:pStyle w:val="Compact"/>
              <w:jc w:val="left"/>
            </w:pPr>
            <w:r>
              <w:t xml:space="preserve">05</w:t>
            </w:r>
          </w:p>
        </w:tc>
        <w:tc>
          <w:tcPr/>
          <w:p>
            <w:pPr>
              <w:pStyle w:val="Compact"/>
              <w:jc w:val="left"/>
            </w:pPr>
            <w:r>
              <w:t xml:space="preserve">Logistics, Travel &amp; Local Compliance (Venezuela, Caracas — permits, insurance, local tax registration)</w:t>
            </w:r>
          </w:p>
        </w:tc>
        <w:tc>
          <w:tcPr/>
          <w:p>
            <w:pPr>
              <w:pStyle w:val="Compact"/>
              <w:jc w:val="left"/>
            </w:pPr>
            <w:r>
              <w:t xml:space="preserve">1 engagement</w:t>
            </w:r>
          </w:p>
        </w:tc>
        <w:tc>
          <w:tcPr/>
          <w:p>
            <w:pPr>
              <w:pStyle w:val="Compact"/>
              <w:jc w:val="left"/>
            </w:pPr>
            <w:r>
              <w:t xml:space="preserve">$2,800.00</w:t>
            </w:r>
          </w:p>
        </w:tc>
        <w:tc>
          <w:tcPr/>
          <w:p>
            <w:pPr>
              <w:pStyle w:val="Compact"/>
              <w:jc w:val="left"/>
            </w:pPr>
            <w:r>
              <w:t xml:space="preserve">$2,800.00</w:t>
            </w:r>
          </w:p>
        </w:tc>
      </w:tr>
      <w:tr>
        <w:tc>
          <w:tcPr/>
          <w:p>
            <w:pPr>
              <w:pStyle w:val="Compact"/>
              <w:jc w:val="left"/>
            </w:pPr>
            <w:r>
              <w:t xml:space="preserve">06</w:t>
            </w:r>
          </w:p>
        </w:tc>
        <w:tc>
          <w:tcPr/>
          <w:p>
            <w:pPr>
              <w:pStyle w:val="Compact"/>
              <w:jc w:val="left"/>
            </w:pPr>
            <w:r>
              <w:t xml:space="preserve">Project Management &amp; Weekly Coordination (Caracas-based)</w:t>
            </w:r>
          </w:p>
        </w:tc>
        <w:tc>
          <w:tcPr/>
          <w:p>
            <w:pPr>
              <w:pStyle w:val="Compact"/>
              <w:jc w:val="left"/>
            </w:pPr>
            <w:r>
              <w:t xml:space="preserve">6 months</w:t>
            </w:r>
          </w:p>
        </w:tc>
        <w:tc>
          <w:tcPr/>
          <w:p>
            <w:pPr>
              <w:pStyle w:val="Compact"/>
              <w:jc w:val="left"/>
            </w:pPr>
            <w:r>
              <w:t xml:space="preserve">$650.00</w:t>
            </w:r>
          </w:p>
        </w:tc>
        <w:tc>
          <w:tcPr/>
          <w:p>
            <w:pPr>
              <w:pStyle w:val="Compact"/>
              <w:jc w:val="left"/>
            </w:pPr>
            <w:r>
              <w:t xml:space="preserve">$3,900.00</w:t>
            </w:r>
          </w:p>
        </w:tc>
      </w:tr>
      <w:tr>
        <w:tc>
          <w:tcPr>
            <w:gridSpan w:val="4"/>
          </w:tcPr>
          <w:p>
            <w:pPr>
              <w:pStyle w:val="Compact"/>
              <w:jc w:val="left"/>
            </w:pPr>
            <w:r>
              <w:t xml:space="preserve">SUBTOTAL</w:t>
            </w:r>
          </w:p>
        </w:tc>
        <w:tc>
          <w:tcPr/>
          <w:p>
            <w:pPr>
              <w:pStyle w:val="Compact"/>
              <w:jc w:val="left"/>
            </w:pPr>
            <w:r>
              <w:t xml:space="preserve">$63,050.00</w:t>
            </w:r>
          </w:p>
        </w:tc>
      </w:tr>
      <w:tr>
        <w:tc>
          <w:tcPr>
            <w:gridSpan w:val="4"/>
          </w:tcPr>
          <w:p>
            <w:pPr>
              <w:pStyle w:val="Compact"/>
              <w:jc w:val="left"/>
            </w:pPr>
            <w:r>
              <w:t xml:space="preserve">VAT (Impuesto al Valor Agregado) — 16% (Venezuelan Tax Law)</w:t>
            </w:r>
          </w:p>
        </w:tc>
        <w:tc>
          <w:tcPr/>
          <w:p>
            <w:pPr>
              <w:pStyle w:val="Compact"/>
              <w:jc w:val="left"/>
            </w:pPr>
            <w:r>
              <w:t xml:space="preserve">$10,088.00</w:t>
            </w:r>
          </w:p>
        </w:tc>
      </w:tr>
      <w:tr>
        <w:tc>
          <w:tcPr>
            <w:gridSpan w:val="4"/>
          </w:tcPr>
          <w:p>
            <w:pPr>
              <w:pStyle w:val="Compact"/>
              <w:jc w:val="left"/>
            </w:pPr>
            <w:r>
              <w:t xml:space="preserve">TOTAL AMOUNT DUE (USD)</w:t>
            </w:r>
          </w:p>
        </w:tc>
        <w:tc>
          <w:tcPr/>
          <w:p>
            <w:pPr>
              <w:pStyle w:val="Compact"/>
              <w:jc w:val="left"/>
            </w:pPr>
            <w:r>
              <w:t xml:space="preserve">$73,138.00</w:t>
            </w:r>
          </w:p>
        </w:tc>
      </w:tr>
    </w:tbl>
    <w:bookmarkEnd w:id="23"/>
    <w:bookmarkStart w:id="24" w:name="payment-terms"/>
    <w:p>
      <w:pPr>
        <w:pStyle w:val="Heading2"/>
      </w:pPr>
      <w:r>
        <w:t xml:space="preserve">4. Payment Terms</w:t>
      </w:r>
    </w:p>
    <w:p>
      <w:pPr>
        <w:numPr>
          <w:ilvl w:val="0"/>
          <w:numId w:val="1002"/>
        </w:numPr>
        <w:pStyle w:val="Compact"/>
      </w:pPr>
      <w:r>
        <w:rPr>
          <w:bCs/>
          <w:b/>
        </w:rPr>
        <w:t xml:space="preserve">Advance Payment:</w:t>
      </w:r>
      <w:r>
        <w:t xml:space="preserve"> </w:t>
      </w:r>
      <w:r>
        <w:t xml:space="preserve">40% of the total Quotation Estimate amount ($29,255.20) due upon signed acceptance of this document, to be transferred via international wire to the account designated by Meridian Creative Solutions, C.A.</w:t>
      </w:r>
    </w:p>
    <w:p>
      <w:pPr>
        <w:numPr>
          <w:ilvl w:val="0"/>
          <w:numId w:val="1002"/>
        </w:numPr>
        <w:pStyle w:val="Compact"/>
      </w:pPr>
      <w:r>
        <w:rPr>
          <w:bCs/>
          <w:b/>
        </w:rPr>
        <w:t xml:space="preserve">Mid-Project Payment:</w:t>
      </w:r>
      <w:r>
        <w:t xml:space="preserve"> </w:t>
      </w:r>
      <w:r>
        <w:t xml:space="preserve">35% ($25,598.30) due at the completion of month three of the Editor engagement in Caracas, Venezuela.</w:t>
      </w:r>
    </w:p>
    <w:p>
      <w:pPr>
        <w:numPr>
          <w:ilvl w:val="0"/>
          <w:numId w:val="1002"/>
        </w:numPr>
        <w:pStyle w:val="Compact"/>
      </w:pPr>
      <w:r>
        <w:rPr>
          <w:bCs/>
          <w:b/>
        </w:rPr>
        <w:t xml:space="preserve">Final Payment:</w:t>
      </w:r>
      <w:r>
        <w:t xml:space="preserve"> </w:t>
      </w:r>
      <w:r>
        <w:t xml:space="preserve">25% ($18,284.50) due upon final delivery and client sign-off of all editorial deliverables.</w:t>
      </w:r>
    </w:p>
    <w:p>
      <w:pPr>
        <w:numPr>
          <w:ilvl w:val="0"/>
          <w:numId w:val="1002"/>
        </w:numPr>
        <w:pStyle w:val="Compact"/>
      </w:pPr>
      <w:r>
        <w:t xml:space="preserve">All payments shall be made in United States Dollars (USD). In the event of Venezuelan currency regulations affecting international transfers, the parties agree to settle in USD at the official Banco Central de Venezuela (BCV) exchange rate on the date of payment. Late payments shall incur a monthly interest rate of 2.5%.</w:t>
      </w:r>
    </w:p>
    <w:bookmarkEnd w:id="24"/>
    <w:bookmarkStart w:id="25" w:name="terms-and-conditions"/>
    <w:p>
      <w:pPr>
        <w:pStyle w:val="Heading2"/>
      </w:pPr>
      <w:r>
        <w:t xml:space="preserve">5. Terms and Conditions</w:t>
      </w:r>
    </w:p>
    <w:p>
      <w:pPr>
        <w:numPr>
          <w:ilvl w:val="0"/>
          <w:numId w:val="1003"/>
        </w:numPr>
        <w:pStyle w:val="Compact"/>
      </w:pPr>
      <w:r>
        <w:t xml:space="preserve">This Quotation Estimate is valid for thirty (30) calendar days from the date of issue. After this period, pricing may be adjusted to reflect changes in Venezuelan market conditions, exchange rates, or material costs in Caracas.</w:t>
      </w:r>
    </w:p>
    <w:p>
      <w:pPr>
        <w:numPr>
          <w:ilvl w:val="0"/>
          <w:numId w:val="1003"/>
        </w:numPr>
        <w:pStyle w:val="Compact"/>
      </w:pPr>
      <w:r>
        <w:t xml:space="preserve">The Editor professional assigned to this project in Venezuela, Caracas, shall comply with all applicable Venezuelan labor laws, including those governed by the Organic Labor Law (Ley Orgánica del Trabajo) and local regulations in the Distrito Capital.</w:t>
      </w:r>
    </w:p>
    <w:p>
      <w:pPr>
        <w:numPr>
          <w:ilvl w:val="0"/>
          <w:numId w:val="1003"/>
        </w:numPr>
        <w:pStyle w:val="Compact"/>
      </w:pPr>
      <w:r>
        <w:t xml:space="preserve">All intellectual property rights in the final edited content shall transfer to the client upon full payment. The Editor and Meridian Creative Solutions retain the right to display work in professional portfolios, subject to the client’s written consent.</w:t>
      </w:r>
    </w:p>
    <w:p>
      <w:pPr>
        <w:numPr>
          <w:ilvl w:val="0"/>
          <w:numId w:val="1003"/>
        </w:numPr>
        <w:pStyle w:val="Compact"/>
      </w:pPr>
      <w:r>
        <w:t xml:space="preserve">Force Majeure: Neither party shall be liable for delays caused by events beyond reasonable control, including but not limited to political instability, infrastructure disruptions (electricity, internet), or government-mandated restrictions within Venezuela.</w:t>
      </w:r>
    </w:p>
    <w:p>
      <w:pPr>
        <w:numPr>
          <w:ilvl w:val="0"/>
          <w:numId w:val="1003"/>
        </w:numPr>
        <w:pStyle w:val="Compact"/>
      </w:pPr>
      <w:r>
        <w:t xml:space="preserve">This Quotation Estimate does not constitute a binding contract until both parties execute a formal Service Agreement referencing this document by number (QTE-VE-2025-04871).</w:t>
      </w:r>
    </w:p>
    <w:p>
      <w:pPr>
        <w:numPr>
          <w:ilvl w:val="0"/>
          <w:numId w:val="1003"/>
        </w:numPr>
        <w:pStyle w:val="Compact"/>
      </w:pPr>
      <w:r>
        <w:t xml:space="preserve">Disputes arising from this Quotation Estimate or the subsequent agreement shall be resolved through arbitration in Caracas, Venezuela, in accordance with the rules of the Venezuelan Chamber of Commerce and Industry (Cámara de Comercio e Industria de Caracas).</w:t>
      </w:r>
    </w:p>
    <w:bookmarkEnd w:id="25"/>
    <w:bookmarkStart w:id="26" w:name="acceptance-and-authorization"/>
    <w:p>
      <w:pPr>
        <w:pStyle w:val="Heading2"/>
      </w:pPr>
      <w:r>
        <w:t xml:space="preserve">6. Acceptance and Authorization</w:t>
      </w:r>
    </w:p>
    <w:p>
      <w:pPr>
        <w:pStyle w:val="FirstParagraph"/>
      </w:pPr>
      <w:r>
        <w:t xml:space="preserve">By signing below, both parties acknowledge that this Quotation Estimate for Editor services in Venezuela, Caracas, has been reviewed, understood, and accepted in its entirety. This document serves as the foundational pricing and scope reference for the subsequent formal Service Agreement.</w:t>
      </w:r>
    </w:p>
    <w:p>
      <w:pPr>
        <w:pStyle w:val="BodyText"/>
      </w:pPr>
      <w:r>
        <w:rPr>
          <w:bCs/>
          <w:b/>
        </w:rPr>
        <w:t xml:space="preserve">For Meridian Creative Solutions, C.A.</w:t>
      </w:r>
    </w:p>
    <w:p>
      <w:pPr>
        <w:pStyle w:val="BodyText"/>
      </w:pPr>
      <w:r>
        <w:t xml:space="preserve">Name: _________________________</w:t>
      </w:r>
      <w:r>
        <w:br/>
      </w:r>
      <w:r>
        <w:t xml:space="preserve">Title: General Manager</w:t>
      </w:r>
      <w:r>
        <w:br/>
      </w:r>
      <w:r>
        <w:t xml:space="preserve">Date: _________________________</w:t>
      </w:r>
    </w:p>
    <w:p>
      <w:pPr>
        <w:pStyle w:val="BodyText"/>
      </w:pPr>
      <w:r>
        <w:rPr>
          <w:bCs/>
          <w:b/>
        </w:rPr>
        <w:t xml:space="preserve">For Grupo Andino Producciones, C.A.</w:t>
      </w:r>
    </w:p>
    <w:p>
      <w:pPr>
        <w:pStyle w:val="BodyText"/>
      </w:pPr>
      <w:r>
        <w:t xml:space="preserve">Name: _________________________</w:t>
      </w:r>
      <w:r>
        <w:br/>
      </w:r>
      <w:r>
        <w:t xml:space="preserve">Title: Creative Director</w:t>
      </w:r>
      <w:r>
        <w:br/>
      </w:r>
      <w:r>
        <w:t xml:space="preserve">Date: _________________________</w:t>
      </w:r>
    </w:p>
    <w:p>
      <w:pPr>
        <w:pStyle w:val="BodyText"/>
      </w:pPr>
      <w:r>
        <w:rPr>
          <w:bCs/>
          <w:b/>
        </w:rPr>
        <w:t xml:space="preserve">Important Note:</w:t>
      </w:r>
      <w:r>
        <w:t xml:space="preserve"> </w:t>
      </w:r>
      <w:r>
        <w:t xml:space="preserve">This Quotation Estimate is prepared specifically for the Venezuelan market and the city of Caracas. All operational, logistical, and tax-related provisions are tailored to the regulatory environment of Venezuela. The Editor services described herein are subject to the availability of qualified professionals in the Caracas metropolitan area and the client’s facility readiness to host the post-production infrastructure. For questions or revisions regarding this Quotation Estimate, please contact our Caracas office at +58 (212) 555-0147 or email caracas@meridiancreative.com.ve.</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Editor Services - Venezuela Caracas</dc:title>
  <dc:creator/>
  <dc:language>en</dc:language>
  <cp:keywords/>
  <dcterms:created xsi:type="dcterms:W3CDTF">2026-10-10T01:06:10Z</dcterms:created>
  <dcterms:modified xsi:type="dcterms:W3CDTF">2026-10-10T01:06:10Z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content-width=device-width, initial-scale=1.0</vt:lpwstr>
  </property>
</Properties>
</file>