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Education Administrator Services</w:t>
      </w:r>
    </w:p>
    <w:p>
      <w:pPr>
        <w:pStyle w:val="BodyText"/>
      </w:pPr>
      <w:r>
        <w:t xml:space="preserve">Prepared for: Australia Brisbane Region</w:t>
      </w:r>
    </w:p>
    <w:p>
      <w:pPr>
        <w:pStyle w:val="BodyText"/>
      </w:pPr>
      <w:r>
        <w:t xml:space="preserve">Quotation Reference: QTE-EDU-BNE-2025-0417</w:t>
      </w:r>
    </w:p>
    <w:p>
      <w:pPr>
        <w:pStyle w:val="BodyText"/>
      </w:pPr>
      <w:r>
        <w:t xml:space="preserve">Date of Issue: 17 June 2025</w:t>
      </w:r>
    </w:p>
    <w:p>
      <w:pPr>
        <w:pStyle w:val="BodyText"/>
      </w:pPr>
      <w:r>
        <w:t xml:space="preserve">Valid Until: 17 July 2025</w:t>
      </w:r>
    </w:p>
    <w:p>
      <w:pPr>
        <w:pStyle w:val="BodyText"/>
      </w:pPr>
      <w:r>
        <w:t xml:space="preserve">AUSTRALIA BRISBANE</w:t>
      </w:r>
    </w:p>
    <w:bookmarkEnd w:id="20"/>
    <w:bookmarkStart w:id="21" w:name="prepared-by"/>
    <w:p>
      <w:pPr>
        <w:pStyle w:val="Heading3"/>
      </w:pPr>
      <w:r>
        <w:t xml:space="preserve">Prepared By</w:t>
      </w:r>
    </w:p>
    <w:p>
      <w:pPr>
        <w:pStyle w:val="FirstParagraph"/>
      </w:pPr>
      <w:r>
        <w:rPr>
          <w:bCs/>
          <w:b/>
        </w:rPr>
        <w:t xml:space="preserve">Provider:</w:t>
      </w:r>
      <w:r>
        <w:t xml:space="preserve"> </w:t>
      </w:r>
      <w:r>
        <w:t xml:space="preserve">Queensland Education Staffing Solutions Pty Ltd</w:t>
      </w:r>
    </w:p>
    <w:p>
      <w:pPr>
        <w:pStyle w:val="BodyText"/>
      </w:pPr>
      <w:r>
        <w:rPr>
          <w:bCs/>
          <w:b/>
        </w:rPr>
        <w:t xml:space="preserve">ABN:</w:t>
      </w:r>
      <w:r>
        <w:t xml:space="preserve"> </w:t>
      </w:r>
      <w:r>
        <w:t xml:space="preserve">54 123 456 789</w:t>
      </w:r>
    </w:p>
    <w:p>
      <w:pPr>
        <w:pStyle w:val="BodyText"/>
      </w:pPr>
      <w:r>
        <w:rPr>
          <w:bCs/>
          <w:b/>
        </w:rPr>
        <w:t xml:space="preserve">Address:</w:t>
      </w:r>
      <w:r>
        <w:t xml:space="preserve"> </w:t>
      </w:r>
      <w:r>
        <w:t xml:space="preserve">Level 12, 400 George Street, Brisbane QLD 4000, Australia</w:t>
      </w:r>
    </w:p>
    <w:p>
      <w:pPr>
        <w:pStyle w:val="BodyText"/>
      </w:pPr>
      <w:r>
        <w:rPr>
          <w:bCs/>
          <w:b/>
        </w:rPr>
        <w:t xml:space="preserve">Contact:</w:t>
      </w:r>
      <w:r>
        <w:t xml:space="preserve"> </w:t>
      </w:r>
      <w:r>
        <w:t xml:space="preserve">enquiries@qesstaffing.com.au</w:t>
      </w:r>
    </w:p>
    <w:p>
      <w:pPr>
        <w:pStyle w:val="BodyText"/>
      </w:pPr>
      <w:r>
        <w:rPr>
          <w:bCs/>
          <w:b/>
        </w:rPr>
        <w:t xml:space="preserve">Phone:</w:t>
      </w:r>
      <w:r>
        <w:t xml:space="preserve"> </w:t>
      </w:r>
      <w:r>
        <w:t xml:space="preserve">+61 7 3100 4500</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[Institution Name] Education Group</w:t>
      </w:r>
    </w:p>
    <w:p>
      <w:pPr>
        <w:pStyle w:val="BodyText"/>
      </w:pPr>
      <w:r>
        <w:rPr>
          <w:bCs/>
          <w:b/>
        </w:rPr>
        <w:t xml:space="preserve">Location:</w:t>
      </w:r>
      <w:r>
        <w:t xml:space="preserve"> </w:t>
      </w:r>
      <w:r>
        <w:t xml:space="preserve">Brisbane, Queensland, Australia</w:t>
      </w:r>
    </w:p>
    <w:p>
      <w:pPr>
        <w:pStyle w:val="BodyText"/>
      </w:pPr>
      <w:r>
        <w:rPr>
          <w:bCs/>
          <w:b/>
        </w:rPr>
        <w:t xml:space="preserve">Attention:</w:t>
      </w:r>
      <w:r>
        <w:t xml:space="preserve"> </w:t>
      </w:r>
      <w:r>
        <w:t xml:space="preserve">Director of Human Resources</w:t>
      </w:r>
    </w:p>
    <w:p>
      <w:pPr>
        <w:pStyle w:val="BodyText"/>
      </w:pPr>
      <w:r>
        <w:rPr>
          <w:bCs/>
          <w:b/>
        </w:rPr>
        <w:t xml:space="preserve">Contact:</w:t>
      </w:r>
      <w:r>
        <w:t xml:space="preserve"> </w:t>
      </w:r>
      <w:r>
        <w:t xml:space="preserve">hr@[institution].edu.au</w:t>
      </w:r>
    </w:p>
    <w:p>
      <w:pPr>
        <w:pStyle w:val="BodyText"/>
      </w:pPr>
      <w:r>
        <w:rPr>
          <w:bCs/>
          <w:b/>
        </w:rPr>
        <w:t xml:space="preserve">Phone:</w:t>
      </w:r>
      <w:r>
        <w:t xml:space="preserve"> </w:t>
      </w:r>
      <w:r>
        <w:t xml:space="preserve">+61 7 3XXX XXXX</w:t>
      </w:r>
    </w:p>
    <w:bookmarkEnd w:id="22"/>
    <w:bookmarkStart w:id="23" w:name="scope-of-quotation-estimate"/>
    <w:p>
      <w:pPr>
        <w:pStyle w:val="Heading2"/>
      </w:pPr>
      <w:r>
        <w:t xml:space="preserve">1. Scope of Quotation Estimate</w:t>
      </w:r>
    </w:p>
    <w:p>
      <w:pPr>
        <w:pStyle w:val="FirstParagraph"/>
      </w:pPr>
      <w:r>
        <w:t xml:space="preserve">This</w:t>
      </w:r>
      <w:r>
        <w:t xml:space="preserve"> </w:t>
      </w:r>
      <w:r>
        <w:t xml:space="preserve">Quotation Estimate</w:t>
      </w:r>
      <w:r>
        <w:t xml:space="preserve"> </w:t>
      </w:r>
      <w:r>
        <w:t xml:space="preserve">has been prepared specifically to outline the professional services, compensation structure, and associated costs for the engagement of a qualified</w:t>
      </w:r>
      <w:r>
        <w:t xml:space="preserve"> </w:t>
      </w:r>
      <w:r>
        <w:t xml:space="preserve">Education Administrator</w:t>
      </w:r>
      <w:r>
        <w:t xml:space="preserve"> </w:t>
      </w:r>
      <w:r>
        <w:t xml:space="preserve">within the</w:t>
      </w:r>
      <w:r>
        <w:t xml:space="preserve"> </w:t>
      </w:r>
      <w:r>
        <w:t xml:space="preserve">Australia Brisbane</w:t>
      </w:r>
      <w:r>
        <w:t xml:space="preserve"> </w:t>
      </w:r>
      <w:r>
        <w:t xml:space="preserve">metropolitan region. This document serves as a formal financial proposal and is intended to provide the client with a comprehensive breakdown of all anticipated expenses related to the recruitment, onboarding, and ongoing employment of an Education Administrator who will manage administrative operations within an educational institution in Brisbane, Queensland.</w:t>
      </w:r>
    </w:p>
    <w:p>
      <w:pPr>
        <w:pStyle w:val="BodyText"/>
      </w:pPr>
      <w:r>
        <w:t xml:space="preserve">The Education Administrator role, as defined in this Quotation Estimate, encompasses the full spectrum of administrative duties required to support academic operations, including but not limited to: managing enrolment records, coordinating timetabling systems, overseeing budget allocations for departmental resources, liaising with the Queensland Curriculum and Assessment Authority (QCAA), maintaining compliance with the Australian Education Act 2013, and ensuring adherence to the National Quality Standards as applicable to the institution's operational framework in Australia Brisbane.</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Quantity</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Annual Base Salary – Education Administrator (Level 3, Brisbane Education Sector Award)</w:t>
            </w:r>
          </w:p>
        </w:tc>
        <w:tc>
          <w:tcPr/>
          <w:p>
            <w:pPr>
              <w:pStyle w:val="Compact"/>
              <w:jc w:val="left"/>
            </w:pPr>
            <w:r>
              <w:t xml:space="preserve">Year</w:t>
            </w:r>
          </w:p>
        </w:tc>
        <w:tc>
          <w:tcPr/>
          <w:p>
            <w:pPr>
              <w:pStyle w:val="Compact"/>
              <w:jc w:val="left"/>
            </w:pPr>
            <w:r>
              <w:t xml:space="preserve">82,400.00</w:t>
            </w:r>
          </w:p>
        </w:tc>
        <w:tc>
          <w:tcPr/>
          <w:p>
            <w:pPr>
              <w:pStyle w:val="Compact"/>
              <w:jc w:val="left"/>
            </w:pPr>
            <w:r>
              <w:t xml:space="preserve">1</w:t>
            </w:r>
          </w:p>
        </w:tc>
        <w:tc>
          <w:tcPr/>
          <w:p>
            <w:pPr>
              <w:pStyle w:val="Compact"/>
              <w:jc w:val="left"/>
            </w:pPr>
            <w:r>
              <w:t xml:space="preserve">82,400.00</w:t>
            </w:r>
          </w:p>
        </w:tc>
      </w:tr>
      <w:tr>
        <w:tc>
          <w:tcPr/>
          <w:p>
            <w:pPr>
              <w:pStyle w:val="Compact"/>
              <w:jc w:val="left"/>
            </w:pPr>
            <w:r>
              <w:t xml:space="preserve">02</w:t>
            </w:r>
          </w:p>
        </w:tc>
        <w:tc>
          <w:tcPr/>
          <w:p>
            <w:pPr>
              <w:pStyle w:val="Compact"/>
              <w:jc w:val="left"/>
            </w:pPr>
            <w:r>
              <w:t xml:space="preserve">Superannuation Contribution (11.5% – Australian Super Guarantee Rate 2025)</w:t>
            </w:r>
          </w:p>
        </w:tc>
        <w:tc>
          <w:tcPr/>
          <w:p>
            <w:pPr>
              <w:pStyle w:val="Compact"/>
              <w:jc w:val="left"/>
            </w:pPr>
            <w:r>
              <w:t xml:space="preserve">Year</w:t>
            </w:r>
          </w:p>
        </w:tc>
        <w:tc>
          <w:tcPr/>
          <w:p>
            <w:pPr>
              <w:pStyle w:val="Compact"/>
              <w:jc w:val="left"/>
            </w:pPr>
            <w:r>
              <w:t xml:space="preserve">9,476.00</w:t>
            </w:r>
          </w:p>
        </w:tc>
        <w:tc>
          <w:tcPr/>
          <w:p>
            <w:pPr>
              <w:pStyle w:val="Compact"/>
              <w:jc w:val="left"/>
            </w:pPr>
            <w:r>
              <w:t xml:space="preserve">1</w:t>
            </w:r>
          </w:p>
        </w:tc>
        <w:tc>
          <w:tcPr/>
          <w:p>
            <w:pPr>
              <w:pStyle w:val="Compact"/>
              <w:jc w:val="left"/>
            </w:pPr>
            <w:r>
              <w:t xml:space="preserve">9,476.00</w:t>
            </w:r>
          </w:p>
        </w:tc>
      </w:tr>
      <w:tr>
        <w:tc>
          <w:tcPr/>
          <w:p>
            <w:pPr>
              <w:pStyle w:val="Compact"/>
              <w:jc w:val="left"/>
            </w:pPr>
            <w:r>
              <w:t xml:space="preserve">03</w:t>
            </w:r>
          </w:p>
        </w:tc>
        <w:tc>
          <w:tcPr/>
          <w:p>
            <w:pPr>
              <w:pStyle w:val="Compact"/>
              <w:jc w:val="left"/>
            </w:pPr>
            <w:r>
              <w:t xml:space="preserve">Recruitment and Sourcing Fee (Education Administrator – Brisbane Region)</w:t>
            </w:r>
          </w:p>
        </w:tc>
        <w:tc>
          <w:tcPr/>
          <w:p>
            <w:pPr>
              <w:pStyle w:val="Compact"/>
              <w:jc w:val="left"/>
            </w:pPr>
            <w:r>
              <w:t xml:space="preserve">One-off</w:t>
            </w:r>
          </w:p>
        </w:tc>
        <w:tc>
          <w:tcPr/>
          <w:p>
            <w:pPr>
              <w:pStyle w:val="Compact"/>
              <w:jc w:val="left"/>
            </w:pPr>
            <w:r>
              <w:t xml:space="preserve">4,120.00</w:t>
            </w:r>
          </w:p>
        </w:tc>
        <w:tc>
          <w:tcPr/>
          <w:p>
            <w:pPr>
              <w:pStyle w:val="Compact"/>
              <w:jc w:val="left"/>
            </w:pPr>
            <w:r>
              <w:t xml:space="preserve">1</w:t>
            </w:r>
          </w:p>
        </w:tc>
        <w:tc>
          <w:tcPr/>
          <w:p>
            <w:pPr>
              <w:pStyle w:val="Compact"/>
              <w:jc w:val="left"/>
            </w:pPr>
            <w:r>
              <w:t xml:space="preserve">4,120.00</w:t>
            </w:r>
          </w:p>
        </w:tc>
      </w:tr>
      <w:tr>
        <w:tc>
          <w:tcPr/>
          <w:p>
            <w:pPr>
              <w:pStyle w:val="Compact"/>
              <w:jc w:val="left"/>
            </w:pPr>
            <w:r>
              <w:t xml:space="preserve">04</w:t>
            </w:r>
          </w:p>
        </w:tc>
        <w:tc>
          <w:tcPr/>
          <w:p>
            <w:pPr>
              <w:pStyle w:val="Compact"/>
              <w:jc w:val="left"/>
            </w:pPr>
            <w:r>
              <w:t xml:space="preserve">Onboarding and Induction Program (Queensland Education Administration Framework)</w:t>
            </w:r>
          </w:p>
        </w:tc>
        <w:tc>
          <w:tcPr/>
          <w:p>
            <w:pPr>
              <w:pStyle w:val="Compact"/>
              <w:jc w:val="left"/>
            </w:pPr>
            <w:r>
              <w:t xml:space="preserve">One-off</w:t>
            </w:r>
          </w:p>
        </w:tc>
        <w:tc>
          <w:tcPr/>
          <w:p>
            <w:pPr>
              <w:pStyle w:val="Compact"/>
              <w:jc w:val="left"/>
            </w:pPr>
            <w:r>
              <w:t xml:space="preserve">2,850.00</w:t>
            </w:r>
          </w:p>
        </w:tc>
        <w:tc>
          <w:tcPr/>
          <w:p>
            <w:pPr>
              <w:pStyle w:val="Compact"/>
              <w:jc w:val="left"/>
            </w:pPr>
            <w:r>
              <w:t xml:space="preserve">1</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Professional Development Allowance (Annual – Education Administrator Certification)</w:t>
            </w:r>
          </w:p>
        </w:tc>
        <w:tc>
          <w:tcPr/>
          <w:p>
            <w:pPr>
              <w:pStyle w:val="Compact"/>
              <w:jc w:val="left"/>
            </w:pPr>
            <w:r>
              <w:t xml:space="preserve">Year</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Workplace Health and Safety Compliance (Brisbane OHS Regulations)</w:t>
            </w:r>
          </w:p>
        </w:tc>
        <w:tc>
          <w:tcPr/>
          <w:p>
            <w:pPr>
              <w:pStyle w:val="Compact"/>
              <w:jc w:val="left"/>
            </w:pPr>
            <w:r>
              <w:t xml:space="preserve">Year</w:t>
            </w:r>
          </w:p>
        </w:tc>
        <w:tc>
          <w:tcPr/>
          <w:p>
            <w:pPr>
              <w:pStyle w:val="Compact"/>
              <w:jc w:val="left"/>
            </w:pPr>
            <w:r>
              <w:t xml:space="preserve">1,450.00</w:t>
            </w:r>
          </w:p>
        </w:tc>
        <w:tc>
          <w:tcPr/>
          <w:p>
            <w:pPr>
              <w:pStyle w:val="Compact"/>
              <w:jc w:val="left"/>
            </w:pPr>
            <w:r>
              <w:t xml:space="preserve">1</w:t>
            </w:r>
          </w:p>
        </w:tc>
        <w:tc>
          <w:tcPr/>
          <w:p>
            <w:pPr>
              <w:pStyle w:val="Compact"/>
              <w:jc w:val="left"/>
            </w:pPr>
            <w:r>
              <w:t xml:space="preserve">1,450.00</w:t>
            </w:r>
          </w:p>
        </w:tc>
      </w:tr>
      <w:tr>
        <w:tc>
          <w:tcPr/>
          <w:p>
            <w:pPr>
              <w:pStyle w:val="Compact"/>
              <w:jc w:val="left"/>
            </w:pPr>
            <w:r>
              <w:t xml:space="preserve">07</w:t>
            </w:r>
          </w:p>
        </w:tc>
        <w:tc>
          <w:tcPr/>
          <w:p>
            <w:pPr>
              <w:pStyle w:val="Compact"/>
              <w:jc w:val="left"/>
            </w:pPr>
            <w:r>
              <w:t xml:space="preserve">Software Licensing – Education Administration Systems (SIS, Timetabling, Finance)</w:t>
            </w:r>
          </w:p>
        </w:tc>
        <w:tc>
          <w:tcPr/>
          <w:p>
            <w:pPr>
              <w:pStyle w:val="Compact"/>
              <w:jc w:val="left"/>
            </w:pPr>
            <w:r>
              <w:t xml:space="preserve">Year</w:t>
            </w:r>
          </w:p>
        </w:tc>
        <w:tc>
          <w:tcPr/>
          <w:p>
            <w:pPr>
              <w:pStyle w:val="Compact"/>
              <w:jc w:val="left"/>
            </w:pPr>
            <w:r>
              <w:t xml:space="preserve">5,600.00</w:t>
            </w:r>
          </w:p>
        </w:tc>
        <w:tc>
          <w:tcPr/>
          <w:p>
            <w:pPr>
              <w:pStyle w:val="Compact"/>
              <w:jc w:val="left"/>
            </w:pPr>
            <w:r>
              <w:t xml:space="preserve">1</w:t>
            </w:r>
          </w:p>
        </w:tc>
        <w:tc>
          <w:tcPr/>
          <w:p>
            <w:pPr>
              <w:pStyle w:val="Compact"/>
              <w:jc w:val="left"/>
            </w:pPr>
            <w:r>
              <w:t xml:space="preserve">5,600.00</w:t>
            </w:r>
          </w:p>
        </w:tc>
      </w:tr>
      <w:tr>
        <w:tc>
          <w:tcPr/>
          <w:p>
            <w:pPr>
              <w:pStyle w:val="Compact"/>
              <w:jc w:val="left"/>
            </w:pPr>
            <w:r>
              <w:t xml:space="preserve">08</w:t>
            </w:r>
          </w:p>
        </w:tc>
        <w:tc>
          <w:tcPr/>
          <w:p>
            <w:pPr>
              <w:pStyle w:val="Compact"/>
              <w:jc w:val="left"/>
            </w:pPr>
            <w:r>
              <w:t xml:space="preserve">Annual Leave Loading (8.66% – Australian Award Standard)</w:t>
            </w:r>
          </w:p>
        </w:tc>
        <w:tc>
          <w:tcPr/>
          <w:p>
            <w:pPr>
              <w:pStyle w:val="Compact"/>
              <w:jc w:val="left"/>
            </w:pPr>
            <w:r>
              <w:t xml:space="preserve">Year</w:t>
            </w:r>
          </w:p>
        </w:tc>
        <w:tc>
          <w:tcPr/>
          <w:p>
            <w:pPr>
              <w:pStyle w:val="Compact"/>
              <w:jc w:val="left"/>
            </w:pPr>
            <w:r>
              <w:t xml:space="preserve">7,135.84</w:t>
            </w:r>
          </w:p>
        </w:tc>
        <w:tc>
          <w:tcPr/>
          <w:p>
            <w:pPr>
              <w:pStyle w:val="Compact"/>
              <w:jc w:val="left"/>
            </w:pPr>
            <w:r>
              <w:t xml:space="preserve">1</w:t>
            </w:r>
          </w:p>
        </w:tc>
        <w:tc>
          <w:tcPr/>
          <w:p>
            <w:pPr>
              <w:pStyle w:val="Compact"/>
              <w:jc w:val="left"/>
            </w:pPr>
            <w:r>
              <w:t xml:space="preserve">7,135.84</w:t>
            </w:r>
          </w:p>
        </w:tc>
      </w:tr>
      <w:tr>
        <w:tc>
          <w:tcPr/>
          <w:p>
            <w:pPr>
              <w:pStyle w:val="Compact"/>
              <w:jc w:val="left"/>
            </w:pPr>
            <w:r>
              <w:t xml:space="preserve">09</w:t>
            </w:r>
          </w:p>
        </w:tc>
        <w:tc>
          <w:tcPr/>
          <w:p>
            <w:pPr>
              <w:pStyle w:val="Compact"/>
              <w:jc w:val="left"/>
            </w:pPr>
            <w:r>
              <w:t xml:space="preserve">Workers' Compensation Insurance (Queensland – Education Sector Classification)</w:t>
            </w:r>
          </w:p>
        </w:tc>
        <w:tc>
          <w:tcPr/>
          <w:p>
            <w:pPr>
              <w:pStyle w:val="Compact"/>
              <w:jc w:val="left"/>
            </w:pPr>
            <w:r>
              <w:t xml:space="preserve">Year</w:t>
            </w:r>
          </w:p>
        </w:tc>
        <w:tc>
          <w:tcPr/>
          <w:p>
            <w:pPr>
              <w:pStyle w:val="Compact"/>
              <w:jc w:val="left"/>
            </w:pPr>
            <w:r>
              <w:t xml:space="preserve">1,890.00</w:t>
            </w:r>
          </w:p>
        </w:tc>
        <w:tc>
          <w:tcPr/>
          <w:p>
            <w:pPr>
              <w:pStyle w:val="Compact"/>
              <w:jc w:val="left"/>
            </w:pPr>
            <w:r>
              <w:t xml:space="preserve">1</w:t>
            </w:r>
          </w:p>
        </w:tc>
        <w:tc>
          <w:tcPr/>
          <w:p>
            <w:pPr>
              <w:pStyle w:val="Compact"/>
              <w:jc w:val="left"/>
            </w:pPr>
            <w:r>
              <w:t xml:space="preserve">1,890.00</w:t>
            </w:r>
          </w:p>
        </w:tc>
      </w:tr>
      <w:tr>
        <w:tc>
          <w:tcPr/>
          <w:p>
            <w:pPr>
              <w:pStyle w:val="Compact"/>
              <w:jc w:val="left"/>
            </w:pPr>
            <w:r>
              <w:t xml:space="preserve">10</w:t>
            </w:r>
          </w:p>
        </w:tc>
        <w:tc>
          <w:tcPr/>
          <w:p>
            <w:pPr>
              <w:pStyle w:val="Compact"/>
              <w:jc w:val="left"/>
            </w:pPr>
            <w:r>
              <w:t xml:space="preserve">Management and Administration Fee (Quotation Estimate Service Provider)</w:t>
            </w:r>
          </w:p>
        </w:tc>
        <w:tc>
          <w:tcPr/>
          <w:p>
            <w:pPr>
              <w:pStyle w:val="Compact"/>
              <w:jc w:val="left"/>
            </w:pPr>
            <w:r>
              <w:t xml:space="preserve">Year</w:t>
            </w:r>
          </w:p>
        </w:tc>
        <w:tc>
          <w:tcPr/>
          <w:p>
            <w:pPr>
              <w:pStyle w:val="Compact"/>
              <w:jc w:val="left"/>
            </w:pPr>
            <w:r>
              <w:t xml:space="preserve">6,500.00</w:t>
            </w:r>
          </w:p>
        </w:tc>
        <w:tc>
          <w:tcPr/>
          <w:p>
            <w:pPr>
              <w:pStyle w:val="Compact"/>
              <w:jc w:val="left"/>
            </w:pPr>
            <w:r>
              <w:t xml:space="preserve">1</w:t>
            </w:r>
          </w:p>
        </w:tc>
        <w:tc>
          <w:tcPr/>
          <w:p>
            <w:pPr>
              <w:pStyle w:val="Compact"/>
              <w:jc w:val="left"/>
            </w:pPr>
            <w:r>
              <w:t xml:space="preserve">6,500.00</w:t>
            </w:r>
          </w:p>
        </w:tc>
      </w:tr>
      <w:tr>
        <w:tc>
          <w:tcPr>
            <w:gridSpan w:val="5"/>
          </w:tcPr>
          <w:p>
            <w:pPr>
              <w:pStyle w:val="Compact"/>
              <w:jc w:val="left"/>
            </w:pPr>
            <w:r>
              <w:t xml:space="preserve">TOTAL ESTIMATED ANNUAL COST (AUD)</w:t>
            </w:r>
          </w:p>
        </w:tc>
        <w:tc>
          <w:tcPr/>
          <w:p>
            <w:pPr>
              <w:pStyle w:val="Compact"/>
              <w:jc w:val="left"/>
            </w:pPr>
            <w:r>
              <w:t xml:space="preserve">126,621.84</w:t>
            </w:r>
          </w:p>
        </w:tc>
      </w:tr>
      <w:tr>
        <w:tc>
          <w:tcPr>
            <w:gridSpan w:val="5"/>
          </w:tcPr>
          <w:p>
            <w:pPr>
              <w:pStyle w:val="Compact"/>
              <w:jc w:val="left"/>
            </w:pPr>
            <w:r>
              <w:t xml:space="preserve">GST (10% – Applicable to Services in Australia Brisbane)</w:t>
            </w:r>
          </w:p>
        </w:tc>
        <w:tc>
          <w:tcPr/>
          <w:p>
            <w:pPr>
              <w:pStyle w:val="Compact"/>
              <w:jc w:val="left"/>
            </w:pPr>
            <w:r>
              <w:t xml:space="preserve">12,662.18</w:t>
            </w:r>
          </w:p>
        </w:tc>
      </w:tr>
      <w:tr>
        <w:tc>
          <w:tcPr>
            <w:gridSpan w:val="5"/>
          </w:tcPr>
          <w:p>
            <w:pPr>
              <w:pStyle w:val="Compact"/>
              <w:jc w:val="left"/>
            </w:pPr>
            <w:r>
              <w:t xml:space="preserve">GRAND TOTAL (AUD, GST Inclusive)</w:t>
            </w:r>
          </w:p>
        </w:tc>
        <w:tc>
          <w:tcPr/>
          <w:p>
            <w:pPr>
              <w:pStyle w:val="Compact"/>
              <w:jc w:val="left"/>
            </w:pPr>
            <w:r>
              <w:t xml:space="preserve">139,284.02</w:t>
            </w:r>
          </w:p>
        </w:tc>
      </w:tr>
    </w:tbl>
    <w:bookmarkEnd w:id="24"/>
    <w:bookmarkStart w:id="25" w:name="X4e5d230fa9251691fba9fe5d404f5729137fa3c"/>
    <w:p>
      <w:pPr>
        <w:pStyle w:val="Heading2"/>
      </w:pPr>
      <w:r>
        <w:t xml:space="preserve">3. Role Specification – Education Administrator</w:t>
      </w:r>
    </w:p>
    <w:p>
      <w:pPr>
        <w:pStyle w:val="FirstParagraph"/>
      </w:pPr>
      <w:r>
        <w:t xml:space="preserve">The Education Administrator engaged under this Quotation Estimate will be responsible for the day-to-day administrative management of educational operations within the Australia Brisbane region. Key responsibilities include: maintaining student and staff records in compliance with the Privacy Act 1988 (Cth); coordinating communication between the institution, the Queensland Department of Education, and relevant government bodies; managing procurement and vendor contracts for educational resources; overseeing the implementation of the institution's strategic plan; and ensuring all administrative processes align with the Australian Professional Standards for Administrators. The Education Administrator will report directly to the Principal or Executive Director and will operate from the institution's primary campus located in the Brisbane metropolitan area.</w:t>
      </w:r>
    </w:p>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all rates and figures may be subject to revision based on prevailing Australian market conditions in the Brisbane education sector.</w:t>
      </w:r>
    </w:p>
    <w:p>
      <w:pPr>
        <w:numPr>
          <w:ilvl w:val="0"/>
          <w:numId w:val="1001"/>
        </w:numPr>
        <w:pStyle w:val="Compact"/>
      </w:pPr>
      <w:r>
        <w:rPr>
          <w:bCs/>
          <w:b/>
        </w:rPr>
        <w:t xml:space="preserve">Payment Terms:</w:t>
      </w:r>
      <w:r>
        <w:t xml:space="preserve"> </w:t>
      </w:r>
      <w:r>
        <w:t xml:space="preserve">All amounts outlined in this Quotation Estimate are payable within thirty (30) days of invoice issuance. Payment is to be made via Electronic Funds Transfer (EFT) to the provider's nominated Australian bank account.</w:t>
      </w:r>
    </w:p>
    <w:p>
      <w:pPr>
        <w:numPr>
          <w:ilvl w:val="0"/>
          <w:numId w:val="1001"/>
        </w:numPr>
        <w:pStyle w:val="Compact"/>
      </w:pPr>
      <w:r>
        <w:rPr>
          <w:bCs/>
          <w:b/>
        </w:rPr>
        <w:t xml:space="preserve">Superannuation:</w:t>
      </w:r>
      <w:r>
        <w:t xml:space="preserve"> </w:t>
      </w:r>
      <w:r>
        <w:t xml:space="preserve">The superannuation contribution rate of 11.5% reflects the Australian Super Guarantee rate effective from 1 July 2025. Should the federal government adjust this rate during the contract period, the Education Administrator's superannuation contribution will be adjusted accordingly, and this Quotation Estimate will be amended in writing.</w:t>
      </w:r>
    </w:p>
    <w:p>
      <w:pPr>
        <w:numPr>
          <w:ilvl w:val="0"/>
          <w:numId w:val="1001"/>
        </w:numPr>
        <w:pStyle w:val="Compact"/>
      </w:pPr>
      <w:r>
        <w:rPr>
          <w:bCs/>
          <w:b/>
        </w:rPr>
        <w:t xml:space="preserve">Award Compliance:</w:t>
      </w:r>
      <w:r>
        <w:t xml:space="preserve"> </w:t>
      </w:r>
      <w:r>
        <w:t xml:space="preserve">The base salary and conditions outlined herein comply with the relevant Australian industrial awards applicable to Education Administrators in Queensland, including the Education (Industry) Award 2020 and any applicable Brisbane-specific enterprise agreements.</w:t>
      </w:r>
    </w:p>
    <w:p>
      <w:pPr>
        <w:numPr>
          <w:ilvl w:val="0"/>
          <w:numId w:val="1001"/>
        </w:numPr>
        <w:pStyle w:val="Compact"/>
      </w:pPr>
      <w:r>
        <w:rPr>
          <w:bCs/>
          <w:b/>
        </w:rPr>
        <w:t xml:space="preserve">Termination:</w:t>
      </w:r>
      <w:r>
        <w:t xml:space="preserve"> </w:t>
      </w:r>
      <w:r>
        <w:t xml:space="preserve">Either party may terminate the engagement with a minimum of four (4) weeks' written notice. In the event of early termination, a pro-rata adjustment to the Quotation Estimate amounts will be applied.</w:t>
      </w:r>
    </w:p>
    <w:p>
      <w:pPr>
        <w:numPr>
          <w:ilvl w:val="0"/>
          <w:numId w:val="1001"/>
        </w:numPr>
        <w:pStyle w:val="Compact"/>
      </w:pPr>
      <w:r>
        <w:rPr>
          <w:bCs/>
          <w:b/>
        </w:rPr>
        <w:t xml:space="preserve">Confidentiality:</w:t>
      </w:r>
      <w:r>
        <w:t xml:space="preserve"> </w:t>
      </w:r>
      <w:r>
        <w:t xml:space="preserve">All information contained within this Quotation Estimate, including the Education Administrator's personal and professional details, is to be treated as confidential in accordance with Australian privacy legislation.</w:t>
      </w:r>
    </w:p>
    <w:p>
      <w:pPr>
        <w:numPr>
          <w:ilvl w:val="0"/>
          <w:numId w:val="1001"/>
        </w:numPr>
        <w:pStyle w:val="Compact"/>
      </w:pPr>
      <w:r>
        <w:rPr>
          <w:bCs/>
          <w:b/>
        </w:rPr>
        <w:t xml:space="preserve">Governing Law:</w:t>
      </w:r>
      <w:r>
        <w:t xml:space="preserve"> </w:t>
      </w:r>
      <w:r>
        <w:t xml:space="preserve">This Quotation Estimate and any resulting engagement shall be governed by and construed in accordance with the laws of the State of Queensland, Australia, and the Commonwealth of Australia.</w:t>
      </w:r>
    </w:p>
    <w:p>
      <w:pPr>
        <w:numPr>
          <w:ilvl w:val="0"/>
          <w:numId w:val="1001"/>
        </w:numPr>
        <w:pStyle w:val="Compact"/>
      </w:pPr>
      <w:r>
        <w:rPr>
          <w:bCs/>
          <w:b/>
        </w:rPr>
        <w:t xml:space="preserve">Dispute Resolution:</w:t>
      </w:r>
      <w:r>
        <w:t xml:space="preserve"> </w:t>
      </w:r>
      <w:r>
        <w:t xml:space="preserve">Any disputes arising from this Quotation Estimate shall first be attempted to be resolved through mediation in Brisbane, Queensland, in accordance with the Queensland Civil and Administrative Tribunal (QCAT) procedures.</w:t>
      </w:r>
    </w:p>
    <w:bookmarkEnd w:id="26"/>
    <w:bookmarkStart w:id="27" w:name="acceptance-and-authorisation"/>
    <w:p>
      <w:pPr>
        <w:pStyle w:val="Heading2"/>
      </w:pPr>
      <w:r>
        <w:t xml:space="preserve">5. Acceptance and Authorisation</w:t>
      </w:r>
    </w:p>
    <w:p>
      <w:pPr>
        <w:pStyle w:val="FirstParagraph"/>
      </w:pPr>
      <w:r>
        <w:t xml:space="preserve">By signing below, the client acknowledges receipt of this Quotation Estimate and agrees to the terms, conditions, and financial obligations outlined herein for the engagement of the Education Administrator in Australia Brisbane. This acceptance constitutes a binding agreement between the parties for the duration specified.</w:t>
      </w:r>
    </w:p>
    <w:p>
      <w:pPr>
        <w:pStyle w:val="BodyText"/>
      </w:pPr>
      <w:r>
        <w:br/>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Client Authorised Representative</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____/____/______</w:t>
            </w:r>
          </w:p>
        </w:tc>
      </w:tr>
      <w:tr>
        <w:tc>
          <w:tcPr/>
          <w:p>
            <w:pPr>
              <w:pStyle w:val="Compact"/>
              <w:jc w:val="left"/>
            </w:pPr>
            <w:r>
              <w:t xml:space="preserve">Provider Authorised Representative</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____/____/______</w:t>
            </w:r>
          </w:p>
        </w:tc>
      </w:tr>
    </w:tbl>
    <w:p>
      <w:pPr>
        <w:pStyle w:val="BodyText"/>
      </w:pPr>
      <w:r>
        <w:t xml:space="preserve">This Quotation Estimate has been prepared by Queensland Education Staffing Solutions Pty Ltd for use in Australia Brisbane.</w:t>
      </w:r>
    </w:p>
    <w:p>
      <w:pPr>
        <w:pStyle w:val="BodyText"/>
      </w:pPr>
      <w:r>
        <w:t xml:space="preserve">All figures are in Australian Dollars (AUD) unless otherwise stated. This document is confidential and intended solely for the named recipient.</w:t>
      </w:r>
    </w:p>
    <w:p>
      <w:pPr>
        <w:pStyle w:val="BodyText"/>
      </w:pPr>
      <w:r>
        <w:t xml:space="preserve">© 2025 Queensland Education Staffing Solutions Pty Ltd | ABN 54 123 456 789 | Brisbane, Queensland, Australia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Australia Brisbane</dc:title>
  <dc:creator/>
  <dc:language>en</dc:language>
  <cp:keywords/>
  <dcterms:created xsi:type="dcterms:W3CDTF">2026-10-10T06:26:19Z</dcterms:created>
  <dcterms:modified xsi:type="dcterms:W3CDTF">2026-10-10T06:26:19Z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