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Services for Education Administrator Position</w:t>
      </w:r>
    </w:p>
    <w:p>
      <w:pPr>
        <w:pStyle w:val="BodyText"/>
      </w:pPr>
      <w:r>
        <w:t xml:space="preserve">Colombia Bogotá — Cundinamarca Department</w:t>
      </w:r>
    </w:p>
    <w:p>
      <w:pPr>
        <w:pStyle w:val="BodyText"/>
      </w:pPr>
      <w:r>
        <w:t xml:space="preserve">Official Document</w:t>
      </w:r>
    </w:p>
    <w:bookmarkEnd w:id="20"/>
    <w:p>
      <w:pPr>
        <w:pStyle w:val="BodyText"/>
      </w:pPr>
      <w:r>
        <w:rPr>
          <w:bCs/>
          <w:b/>
        </w:rPr>
        <w:t xml:space="preserve">Quotation No.:</w:t>
      </w:r>
      <w:r>
        <w:t xml:space="preserve"> </w:t>
      </w:r>
      <w:r>
        <w:t xml:space="preserve">QE-BOG-2025-0472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Talento Educativo S.A.S.</w:t>
      </w:r>
      <w:r>
        <w:br/>
      </w:r>
      <w:r>
        <w:rPr>
          <w:bCs/>
          <w:b/>
        </w:rPr>
        <w:t xml:space="preserve">Address:</w:t>
      </w:r>
      <w:r>
        <w:t xml:space="preserve"> </w:t>
      </w:r>
      <w:r>
        <w:t xml:space="preserve">Calle 93 #15-42, Of. 301</w:t>
      </w:r>
      <w:r>
        <w:br/>
      </w:r>
      <w:r>
        <w:rPr>
          <w:bCs/>
          <w:b/>
        </w:rPr>
        <w:t xml:space="preserve">Bogotá D.C., Colombia</w:t>
      </w:r>
      <w:r>
        <w:br/>
      </w:r>
      <w:r>
        <w:rPr>
          <w:bCs/>
          <w:b/>
        </w:rPr>
        <w:t xml:space="preserve">NIT:</w:t>
      </w:r>
      <w:r>
        <w:t xml:space="preserve"> </w:t>
      </w:r>
      <w:r>
        <w:t xml:space="preserve">901.234.567-8</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Academia Internacional de las Américas</w:t>
            </w:r>
          </w:p>
        </w:tc>
      </w:tr>
      <w:tr>
        <w:tc>
          <w:tcPr/>
          <w:p>
            <w:pPr>
              <w:pStyle w:val="Compact"/>
              <w:jc w:val="left"/>
            </w:pPr>
            <w:r>
              <w:rPr>
                <w:bCs/>
                <w:b/>
              </w:rPr>
              <w:t xml:space="preserve">Address:</w:t>
            </w:r>
          </w:p>
        </w:tc>
        <w:tc>
          <w:tcPr/>
          <w:p>
            <w:pPr>
              <w:pStyle w:val="Compact"/>
              <w:jc w:val="left"/>
            </w:pPr>
            <w:r>
              <w:t xml:space="preserve">Carrera 11 #86-55, Zona Rosa, Bogotá D.C., Colombia</w:t>
            </w:r>
          </w:p>
        </w:tc>
      </w:tr>
      <w:tr>
        <w:tc>
          <w:tcPr/>
          <w:p>
            <w:pPr>
              <w:pStyle w:val="Compact"/>
              <w:jc w:val="left"/>
            </w:pPr>
            <w:r>
              <w:rPr>
                <w:bCs/>
                <w:b/>
              </w:rPr>
              <w:t xml:space="preserve">Contact Person:</w:t>
            </w:r>
          </w:p>
        </w:tc>
        <w:tc>
          <w:tcPr/>
          <w:p>
            <w:pPr>
              <w:pStyle w:val="Compact"/>
              <w:jc w:val="left"/>
            </w:pPr>
            <w:r>
              <w:t xml:space="preserve">Dra. María Fernanda Restrepo, Director Académico</w:t>
            </w:r>
          </w:p>
        </w:tc>
      </w:tr>
      <w:tr>
        <w:tc>
          <w:tcPr/>
          <w:p>
            <w:pPr>
              <w:pStyle w:val="Compact"/>
              <w:jc w:val="left"/>
            </w:pPr>
            <w:r>
              <w:rPr>
                <w:bCs/>
                <w:b/>
              </w:rPr>
              <w:t xml:space="preserve">Email:</w:t>
            </w:r>
          </w:p>
        </w:tc>
        <w:tc>
          <w:tcPr/>
          <w:p>
            <w:pPr>
              <w:pStyle w:val="Compact"/>
              <w:jc w:val="left"/>
            </w:pPr>
            <w:r>
              <w:t xml:space="preserve">mrestrepo@academiainternacional.edu.co</w:t>
            </w:r>
          </w:p>
        </w:tc>
      </w:tr>
      <w:tr>
        <w:tc>
          <w:tcPr/>
          <w:p>
            <w:pPr>
              <w:pStyle w:val="Compact"/>
              <w:jc w:val="left"/>
            </w:pPr>
            <w:r>
              <w:rPr>
                <w:bCs/>
                <w:b/>
              </w:rPr>
              <w:t xml:space="preserve">Phone:</w:t>
            </w:r>
          </w:p>
        </w:tc>
        <w:tc>
          <w:tcPr/>
          <w:p>
            <w:pPr>
              <w:pStyle w:val="Compact"/>
              <w:jc w:val="left"/>
            </w:pPr>
            <w:r>
              <w:t xml:space="preserve">+57 (601) 743 2890</w:t>
            </w:r>
          </w:p>
        </w:tc>
      </w:tr>
    </w:tbl>
    <w:bookmarkEnd w:id="21"/>
    <w:bookmarkStart w:id="22" w:name="Xb766d85ea3045f87fd2558e5c3448acd2eb1c02"/>
    <w:p>
      <w:pPr>
        <w:pStyle w:val="Heading2"/>
      </w:pPr>
      <w:r>
        <w:t xml:space="preserve">2. Scope of Services — Education Administrator</w:t>
      </w:r>
    </w:p>
    <w:p>
      <w:pPr>
        <w:pStyle w:val="FirstParagraph"/>
      </w:pPr>
      <w:r>
        <w:t xml:space="preserve">This Quotation Estimate is issued in response to the formal request submitted by Academia Internacional de las Américas for the recruitment, onboarding, and first-year professional support of a full-time</w:t>
      </w:r>
      <w:r>
        <w:t xml:space="preserve"> </w:t>
      </w:r>
      <w:r>
        <w:rPr>
          <w:bCs/>
          <w:b/>
        </w:rPr>
        <w:t xml:space="preserve">Education Administrator</w:t>
      </w:r>
      <w:r>
        <w:t xml:space="preserve"> </w:t>
      </w:r>
      <w:r>
        <w:t xml:space="preserve">based in</w:t>
      </w:r>
      <w:r>
        <w:t xml:space="preserve"> </w:t>
      </w:r>
      <w:r>
        <w:rPr>
          <w:bCs/>
          <w:b/>
        </w:rPr>
        <w:t xml:space="preserve">Colombia Bogotá</w:t>
      </w:r>
      <w:r>
        <w:t xml:space="preserve">. The Education Administrator will be responsible for the overall operational management of academic programs, coordination of faculty schedules, oversight of student enrollment processes, compliance with the Colombian Ministry of Education (Ministerio de Educación Nacional) regulations, and strategic planning for institutional growth within the Bogotá metropolitan area.</w:t>
      </w:r>
    </w:p>
    <w:p>
      <w:pPr>
        <w:pStyle w:val="BodyText"/>
      </w:pPr>
      <w:r>
        <w:t xml:space="preserve">The services outlined in this Quotation Estimate encompass the complete lifecycle of the Education Administrator engagement, from initial candidate sourcing through the first twelve (12) months of active service in Bogotá, Colombia. All deliverables are designed to meet the specific regulatory and operational requirements of educational institutions operating under Colombian law, including Decree 1075 of 2015 and applicable Cundinamarca departmental education ordinances.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(COP)</w:t>
            </w:r>
          </w:p>
        </w:tc>
      </w:tr>
      <w:tr>
        <w:tc>
          <w:tcPr/>
          <w:p>
            <w:pPr>
              <w:pStyle w:val="Compact"/>
              <w:jc w:val="left"/>
            </w:pPr>
            <w:r>
              <w:t xml:space="preserve">3.1</w:t>
            </w:r>
          </w:p>
        </w:tc>
        <w:tc>
          <w:tcPr/>
          <w:p>
            <w:pPr>
              <w:pStyle w:val="Compact"/>
              <w:jc w:val="left"/>
            </w:pPr>
            <w:r>
              <w:t xml:space="preserve">Recruitment and Selection of Education Administrator — Includes job posting on Colombian platforms (El Empleo, LinkedIn Colombia), screening of candidates in Bogotá, structured interviews, background verification, and reference checks.</w:t>
            </w:r>
          </w:p>
        </w:tc>
        <w:tc>
          <w:tcPr/>
          <w:p>
            <w:pPr>
              <w:pStyle w:val="Compact"/>
              <w:jc w:val="left"/>
            </w:pPr>
            <w:r>
              <w:t xml:space="preserve">4 weeks</w:t>
            </w:r>
          </w:p>
        </w:tc>
        <w:tc>
          <w:tcPr/>
          <w:p>
            <w:pPr>
              <w:pStyle w:val="Compact"/>
              <w:jc w:val="left"/>
            </w:pPr>
            <w:r>
              <w:t xml:space="preserve">$8,500,000</w:t>
            </w:r>
          </w:p>
        </w:tc>
      </w:tr>
      <w:tr>
        <w:tc>
          <w:tcPr/>
          <w:p>
            <w:pPr>
              <w:pStyle w:val="Compact"/>
              <w:jc w:val="left"/>
            </w:pPr>
            <w:r>
              <w:t xml:space="preserve">3.2</w:t>
            </w:r>
          </w:p>
        </w:tc>
        <w:tc>
          <w:tcPr/>
          <w:p>
            <w:pPr>
              <w:pStyle w:val="Compact"/>
              <w:jc w:val="left"/>
            </w:pPr>
            <w:r>
              <w:t xml:space="preserve">Onboarding and Integration Program for the Education Administrator — Orientation to institutional policies, Colombian labor law (Código Sustantivo del Trabajo) compliance, introduction to Ministry of Education reporting systems, and Bogotá-based administrative infrastructure setup.</w:t>
            </w:r>
          </w:p>
        </w:tc>
        <w:tc>
          <w:tcPr/>
          <w:p>
            <w:pPr>
              <w:pStyle w:val="Compact"/>
              <w:jc w:val="left"/>
            </w:pPr>
            <w:r>
              <w:t xml:space="preserve">2 weeks</w:t>
            </w:r>
          </w:p>
        </w:tc>
        <w:tc>
          <w:tcPr/>
          <w:p>
            <w:pPr>
              <w:pStyle w:val="Compact"/>
              <w:jc w:val="left"/>
            </w:pPr>
            <w:r>
              <w:t xml:space="preserve">$4,200,000</w:t>
            </w:r>
          </w:p>
        </w:tc>
      </w:tr>
      <w:tr>
        <w:tc>
          <w:tcPr/>
          <w:p>
            <w:pPr>
              <w:pStyle w:val="Compact"/>
              <w:jc w:val="left"/>
            </w:pPr>
            <w:r>
              <w:t xml:space="preserve">3.3</w:t>
            </w:r>
          </w:p>
        </w:tc>
        <w:tc>
          <w:tcPr/>
          <w:p>
            <w:pPr>
              <w:pStyle w:val="Compact"/>
              <w:jc w:val="left"/>
            </w:pPr>
            <w:r>
              <w:t xml:space="preserve">Monthly Professional Support — Ongoing advisory to the Education Administrator covering academic calendar management, faculty coordination, student affairs administration, budget oversight, and regulatory compliance in Colombia Bogotá.</w:t>
            </w:r>
          </w:p>
        </w:tc>
        <w:tc>
          <w:tcPr/>
          <w:p>
            <w:pPr>
              <w:pStyle w:val="Compact"/>
              <w:jc w:val="left"/>
            </w:pPr>
            <w:r>
              <w:t xml:space="preserve">12 months</w:t>
            </w:r>
          </w:p>
        </w:tc>
        <w:tc>
          <w:tcPr/>
          <w:p>
            <w:pPr>
              <w:pStyle w:val="Compact"/>
              <w:jc w:val="left"/>
            </w:pPr>
            <w:r>
              <w:t xml:space="preserve">$12,000,000</w:t>
            </w:r>
          </w:p>
        </w:tc>
      </w:tr>
      <w:tr>
        <w:tc>
          <w:tcPr/>
          <w:p>
            <w:pPr>
              <w:pStyle w:val="Compact"/>
              <w:jc w:val="left"/>
            </w:pPr>
            <w:r>
              <w:t xml:space="preserve">3.4</w:t>
            </w:r>
          </w:p>
        </w:tc>
        <w:tc>
          <w:tcPr/>
          <w:p>
            <w:pPr>
              <w:pStyle w:val="Compact"/>
              <w:jc w:val="left"/>
            </w:pPr>
            <w:r>
              <w:t xml:space="preserve">Performance Evaluation and Strategic Review — Quarterly assessments of the Education Administrator's performance, alignment with institutional KPIs, and annual strategic planning session for the following academic year in Bogotá.</w:t>
            </w:r>
          </w:p>
        </w:tc>
        <w:tc>
          <w:tcPr/>
          <w:p>
            <w:pPr>
              <w:pStyle w:val="Compact"/>
              <w:jc w:val="left"/>
            </w:pPr>
            <w:r>
              <w:t xml:space="preserve">12 months</w:t>
            </w:r>
          </w:p>
        </w:tc>
        <w:tc>
          <w:tcPr/>
          <w:p>
            <w:pPr>
              <w:pStyle w:val="Compact"/>
              <w:jc w:val="left"/>
            </w:pPr>
            <w:r>
              <w:t xml:space="preserve">$5,800,000</w:t>
            </w:r>
          </w:p>
        </w:tc>
      </w:tr>
      <w:tr>
        <w:tc>
          <w:tcPr/>
          <w:p>
            <w:pPr>
              <w:pStyle w:val="Compact"/>
              <w:jc w:val="left"/>
            </w:pPr>
            <w:r>
              <w:t xml:space="preserve">3.5</w:t>
            </w:r>
          </w:p>
        </w:tc>
        <w:tc>
          <w:tcPr/>
          <w:p>
            <w:pPr>
              <w:pStyle w:val="Compact"/>
              <w:jc w:val="left"/>
            </w:pPr>
            <w:r>
              <w:t xml:space="preserve">Continuing Professional Development — Enrollment of the Education Administrator in two (2) accredited workshops per year focused on Colombian education policy updates, digital transformation in Bogotá's educational sector, and leadership development.</w:t>
            </w:r>
          </w:p>
        </w:tc>
        <w:tc>
          <w:tcPr/>
          <w:p>
            <w:pPr>
              <w:pStyle w:val="Compact"/>
              <w:jc w:val="left"/>
            </w:pPr>
            <w:r>
              <w:t xml:space="preserve">12 months</w:t>
            </w:r>
          </w:p>
        </w:tc>
        <w:tc>
          <w:tcPr/>
          <w:p>
            <w:pPr>
              <w:pStyle w:val="Compact"/>
              <w:jc w:val="left"/>
            </w:pPr>
            <w:r>
              <w:t xml:space="preserve">$3,500,000</w:t>
            </w:r>
          </w:p>
        </w:tc>
      </w:tr>
      <w:tr>
        <w:tc>
          <w:tcPr/>
          <w:p>
            <w:pPr>
              <w:pStyle w:val="Compact"/>
              <w:jc w:val="left"/>
            </w:pPr>
            <w:r>
              <w:t xml:space="preserve">3.6</w:t>
            </w:r>
          </w:p>
        </w:tc>
        <w:tc>
          <w:tcPr/>
          <w:p>
            <w:pPr>
              <w:pStyle w:val="Compact"/>
              <w:jc w:val="left"/>
            </w:pPr>
            <w:r>
              <w:t xml:space="preserve">Legal and Administrative Compliance Package — Preparation of employment contract compliant with Colombian labor regulations, social security enrollment (Pensión, Salud, ARL), and registration with the local Bogotá education authority.</w:t>
            </w:r>
          </w:p>
        </w:tc>
        <w:tc>
          <w:tcPr/>
          <w:p>
            <w:pPr>
              <w:pStyle w:val="Compact"/>
              <w:jc w:val="left"/>
            </w:pPr>
            <w:r>
              <w:t xml:space="preserve">One-time</w:t>
            </w:r>
          </w:p>
        </w:tc>
        <w:tc>
          <w:tcPr/>
          <w:p>
            <w:pPr>
              <w:pStyle w:val="Compact"/>
              <w:jc w:val="left"/>
            </w:pPr>
            <w:r>
              <w:t xml:space="preserve">$2,800,000</w:t>
            </w:r>
          </w:p>
        </w:tc>
      </w:tr>
      <w:tr>
        <w:tc>
          <w:tcPr>
            <w:gridSpan w:val="3"/>
          </w:tcPr>
          <w:p>
            <w:pPr>
              <w:pStyle w:val="Compact"/>
              <w:jc w:val="left"/>
            </w:pPr>
            <w:r>
              <w:rPr>
                <w:bCs/>
                <w:b/>
              </w:rPr>
              <w:t xml:space="preserve">TOTAL ESTIMATED COST (COP)</w:t>
            </w:r>
          </w:p>
        </w:tc>
        <w:tc>
          <w:tcPr/>
          <w:p>
            <w:pPr>
              <w:pStyle w:val="Compact"/>
              <w:jc w:val="left"/>
            </w:pPr>
            <w:r>
              <w:rPr>
                <w:bCs/>
                <w:b/>
              </w:rPr>
              <w:t xml:space="preserve">$36,800,000</w:t>
            </w:r>
          </w:p>
        </w:tc>
      </w:tr>
      <w:tr>
        <w:tc>
          <w:tcPr>
            <w:gridSpan w:val="3"/>
          </w:tcPr>
          <w:p>
            <w:pPr>
              <w:pStyle w:val="Compact"/>
              <w:jc w:val="left"/>
            </w:pPr>
            <w:r>
              <w:rPr>
                <w:bCs/>
                <w:b/>
              </w:rPr>
              <w:t xml:space="preserve">TOTAL ESTIMATED COST (USD, approx.)</w:t>
            </w:r>
          </w:p>
        </w:tc>
        <w:tc>
          <w:tcPr/>
          <w:p>
            <w:pPr>
              <w:pStyle w:val="Compact"/>
              <w:jc w:val="left"/>
            </w:pPr>
            <w:r>
              <w:rPr>
                <w:bCs/>
                <w:b/>
              </w:rPr>
              <w:t xml:space="preserve">$9,200.00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(COP)</w:t>
            </w:r>
          </w:p>
        </w:tc>
        <w:tc>
          <w:tcPr/>
          <w:p>
            <w:pPr>
              <w:pStyle w:val="Compact"/>
              <w:jc w:val="left"/>
            </w:pPr>
            <w:r>
              <w:t xml:space="preserve">Percentage</w:t>
            </w:r>
          </w:p>
        </w:tc>
      </w:tr>
      <w:tr>
        <w:tc>
          <w:tcPr/>
          <w:p>
            <w:pPr>
              <w:pStyle w:val="Compact"/>
              <w:jc w:val="left"/>
            </w:pPr>
            <w:r>
              <w:t xml:space="preserve">1st — Upon contract signing</w:t>
            </w:r>
          </w:p>
        </w:tc>
        <w:tc>
          <w:tcPr/>
          <w:p>
            <w:pPr>
              <w:pStyle w:val="Compact"/>
              <w:jc w:val="left"/>
            </w:pPr>
            <w:r>
              <w:t xml:space="preserve">June 20, 2025</w:t>
            </w:r>
          </w:p>
        </w:tc>
        <w:tc>
          <w:tcPr/>
          <w:p>
            <w:pPr>
              <w:pStyle w:val="Compact"/>
              <w:jc w:val="left"/>
            </w:pPr>
            <w:r>
              <w:t xml:space="preserve">$9,200,000</w:t>
            </w:r>
          </w:p>
        </w:tc>
        <w:tc>
          <w:tcPr/>
          <w:p>
            <w:pPr>
              <w:pStyle w:val="Compact"/>
              <w:jc w:val="left"/>
            </w:pPr>
            <w:r>
              <w:t xml:space="preserve">25%</w:t>
            </w:r>
          </w:p>
        </w:tc>
      </w:tr>
      <w:tr>
        <w:tc>
          <w:tcPr/>
          <w:p>
            <w:pPr>
              <w:pStyle w:val="Compact"/>
              <w:jc w:val="left"/>
            </w:pPr>
            <w:r>
              <w:t xml:space="preserve">2nd — Upon completion of recruitment</w:t>
            </w:r>
          </w:p>
        </w:tc>
        <w:tc>
          <w:tcPr/>
          <w:p>
            <w:pPr>
              <w:pStyle w:val="Compact"/>
              <w:jc w:val="left"/>
            </w:pPr>
            <w:r>
              <w:t xml:space="preserve">July 25, 2025</w:t>
            </w:r>
          </w:p>
        </w:tc>
        <w:tc>
          <w:tcPr/>
          <w:p>
            <w:pPr>
              <w:pStyle w:val="Compact"/>
              <w:jc w:val="left"/>
            </w:pPr>
            <w:r>
              <w:t xml:space="preserve">$9,200,000</w:t>
            </w:r>
          </w:p>
        </w:tc>
        <w:tc>
          <w:tcPr/>
          <w:p>
            <w:pPr>
              <w:pStyle w:val="Compact"/>
              <w:jc w:val="left"/>
            </w:pPr>
            <w:r>
              <w:t xml:space="preserve">25%</w:t>
            </w:r>
          </w:p>
        </w:tc>
      </w:tr>
      <w:tr>
        <w:tc>
          <w:tcPr/>
          <w:p>
            <w:pPr>
              <w:pStyle w:val="Compact"/>
              <w:jc w:val="left"/>
            </w:pPr>
            <w:r>
              <w:t xml:space="preserve">3rd — Mid-year milestone</w:t>
            </w:r>
          </w:p>
        </w:tc>
        <w:tc>
          <w:tcPr/>
          <w:p>
            <w:pPr>
              <w:pStyle w:val="Compact"/>
              <w:jc w:val="left"/>
            </w:pPr>
            <w:r>
              <w:t xml:space="preserve">December 15, 2025</w:t>
            </w:r>
          </w:p>
        </w:tc>
        <w:tc>
          <w:tcPr/>
          <w:p>
            <w:pPr>
              <w:pStyle w:val="Compact"/>
              <w:jc w:val="left"/>
            </w:pPr>
            <w:r>
              <w:t xml:space="preserve">$9,200,000</w:t>
            </w:r>
          </w:p>
        </w:tc>
        <w:tc>
          <w:tcPr/>
          <w:p>
            <w:pPr>
              <w:pStyle w:val="Compact"/>
              <w:jc w:val="left"/>
            </w:pPr>
            <w:r>
              <w:t xml:space="preserve">25%</w:t>
            </w:r>
          </w:p>
        </w:tc>
      </w:tr>
      <w:tr>
        <w:tc>
          <w:tcPr/>
          <w:p>
            <w:pPr>
              <w:pStyle w:val="Compact"/>
              <w:jc w:val="left"/>
            </w:pPr>
            <w:r>
              <w:t xml:space="preserve">4th — End of service period</w:t>
            </w:r>
          </w:p>
        </w:tc>
        <w:tc>
          <w:tcPr/>
          <w:p>
            <w:pPr>
              <w:pStyle w:val="Compact"/>
              <w:jc w:val="left"/>
            </w:pPr>
            <w:r>
              <w:t xml:space="preserve">June 30, 2026</w:t>
            </w:r>
          </w:p>
        </w:tc>
        <w:tc>
          <w:tcPr/>
          <w:p>
            <w:pPr>
              <w:pStyle w:val="Compact"/>
              <w:jc w:val="left"/>
            </w:pPr>
            <w:r>
              <w:t xml:space="preserve">$9,200,000</w:t>
            </w:r>
          </w:p>
        </w:tc>
        <w:tc>
          <w:tcPr/>
          <w:p>
            <w:pPr>
              <w:pStyle w:val="Compact"/>
              <w:jc w:val="left"/>
            </w:pPr>
            <w:r>
              <w:t xml:space="preserve">25%</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the expiration date, all costs listed herein are subject to revision based on prevailing market conditions in Colombia Bogotá.</w:t>
      </w:r>
    </w:p>
    <w:p>
      <w:pPr>
        <w:numPr>
          <w:ilvl w:val="0"/>
          <w:numId w:val="1001"/>
        </w:numPr>
        <w:pStyle w:val="Compact"/>
      </w:pPr>
      <w:r>
        <w:t xml:space="preserve">All prices are quoted in Colombian Pesos (COP) and are inclusive of applicable Value Added Tax (IVA) at the current rate of 19% as established by the Colombian National Tax Authority (DIAN).</w:t>
      </w:r>
    </w:p>
    <w:p>
      <w:pPr>
        <w:numPr>
          <w:ilvl w:val="0"/>
          <w:numId w:val="1001"/>
        </w:numPr>
        <w:pStyle w:val="Compact"/>
      </w:pPr>
      <w:r>
        <w:t xml:space="preserve">The Education Administrator position described in this Quotation Estimate is subject to the availability of qualified candidates in the Bogotá metropolitan area. In the event that recruitment extends beyond the initial four-week period, additional costs will be communicated in writing prior to any further expenditure.</w:t>
      </w:r>
    </w:p>
    <w:p>
      <w:pPr>
        <w:numPr>
          <w:ilvl w:val="0"/>
          <w:numId w:val="1001"/>
        </w:numPr>
        <w:pStyle w:val="Compact"/>
      </w:pPr>
      <w:r>
        <w:t xml:space="preserve">Payment terms are net fifteen (15) days from the date of each invoice. Late payments will incur a monthly interest rate equivalent to the maximum rate established by the Colombian Superintendencia Financiera.</w:t>
      </w:r>
    </w:p>
    <w:p>
      <w:pPr>
        <w:numPr>
          <w:ilvl w:val="0"/>
          <w:numId w:val="1001"/>
        </w:numPr>
        <w:pStyle w:val="Compact"/>
      </w:pPr>
      <w:r>
        <w:t xml:space="preserve">This Quotation Estimate does not constitute a binding employment contract. The formal employment agreement for the Education Administrator will be drafted separately in compliance with Colombian labor legislation.</w:t>
      </w:r>
    </w:p>
    <w:p>
      <w:pPr>
        <w:numPr>
          <w:ilvl w:val="0"/>
          <w:numId w:val="1001"/>
        </w:numPr>
        <w:pStyle w:val="Compact"/>
      </w:pPr>
      <w:r>
        <w:t xml:space="preserve">All services will be rendered in Bogotá D.C., Colombia, and the Education Administrator will be physically present at the client's premises during standard business hours (Monday through Friday, 8:00 AM to 5:00 PM).</w:t>
      </w:r>
    </w:p>
    <w:p>
      <w:pPr>
        <w:numPr>
          <w:ilvl w:val="0"/>
          <w:numId w:val="1001"/>
        </w:numPr>
        <w:pStyle w:val="Compact"/>
      </w:pPr>
      <w:r>
        <w:t xml:space="preserve">Confidentiality: Both parties agree to maintain strict confidentiality regarding all institutional data, student records, and proprietary information encountered during the execution of this Quotation Estimate.</w:t>
      </w:r>
    </w:p>
    <w:p>
      <w:pPr>
        <w:numPr>
          <w:ilvl w:val="0"/>
          <w:numId w:val="1001"/>
        </w:numPr>
        <w:pStyle w:val="Compact"/>
      </w:pPr>
      <w:r>
        <w:t xml:space="preserve">Force Majeure: Neither party shall be held liable for delays or non-performance resulting from events beyond reasonable control, including but not limited to natural disasters, government mandates, or public health emergencies affecting Bogotá, Colombia.</w:t>
      </w:r>
    </w:p>
    <w:p>
      <w:pPr>
        <w:numPr>
          <w:ilvl w:val="0"/>
          <w:numId w:val="1001"/>
        </w:numPr>
        <w:pStyle w:val="Compact"/>
      </w:pPr>
      <w:r>
        <w:t xml:space="preserve">Dispute Resolution: Any disputes arising from this Quotation Estimate shall be resolved through mediation in Bogotá D.C., Colombia, in accordance with the Colombian Code of Civil Procedure.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cost structure outlined for the Education Administrator engagement in Colombia Bogotá. This document serves as the formal basis for the subsequent service agreement between both parties.</w:t>
      </w:r>
    </w:p>
    <w:p>
      <w:pPr>
        <w:pStyle w:val="BodyText"/>
      </w:pPr>
      <w:r>
        <w:rPr>
          <w:bCs/>
          <w:b/>
        </w:rPr>
        <w:t xml:space="preserve">For: Talento Educativo S.A.S.</w:t>
      </w:r>
      <w:r>
        <w:br/>
      </w:r>
      <w:r>
        <w:t xml:space="preserve">Name: Carlos Andrés Gutiérrez</w:t>
      </w:r>
      <w:r>
        <w:br/>
      </w:r>
      <w:r>
        <w:t xml:space="preserve">Title: Director General</w:t>
      </w:r>
      <w:r>
        <w:br/>
      </w:r>
      <w:r>
        <w:t xml:space="preserve">Date: _______________</w:t>
      </w:r>
    </w:p>
    <w:p>
      <w:pPr>
        <w:pStyle w:val="BodyText"/>
      </w:pPr>
      <w:r>
        <w:rPr>
          <w:bCs/>
          <w:b/>
        </w:rPr>
        <w:t xml:space="preserve">For: Academia Internacional de las Américas</w:t>
      </w:r>
      <w:r>
        <w:br/>
      </w:r>
      <w:r>
        <w:t xml:space="preserve">Name: Dra. María Fernanda Restrepo</w:t>
      </w:r>
      <w:r>
        <w:br/>
      </w:r>
      <w:r>
        <w:t xml:space="preserve">Title: Director Académico</w:t>
      </w:r>
      <w:r>
        <w:br/>
      </w:r>
      <w:r>
        <w:t xml:space="preserve">Date: _______________</w:t>
      </w:r>
    </w:p>
    <w:p>
      <w:pPr>
        <w:pStyle w:val="BodyText"/>
      </w:pPr>
      <w:r>
        <w:t xml:space="preserve">Quotation Estimate QE-BOG-2025-0472 | Education Administrator Services | Colombia Bogotá</w:t>
      </w:r>
    </w:p>
    <w:p>
      <w:pPr>
        <w:pStyle w:val="BodyText"/>
      </w:pPr>
      <w:r>
        <w:t xml:space="preserve">Talento Educativo S.A.S. — Calle 93 #15-42, Of. 301, Bogotá D.C., Colombia | Tel: +57 (601) 555 0198 | info@talentoeducativo.co</w:t>
      </w:r>
    </w:p>
    <w:p>
      <w:pPr>
        <w:pStyle w:val="BodyText"/>
      </w:pPr>
      <w:r>
        <w:t xml:space="preserve">This document is generated electronically and is valid without a physical signature.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Colombia Bogotá</dc:title>
  <dc:creator/>
  <dc:language>en</dc:language>
  <cp:keywords/>
  <dcterms:created xsi:type="dcterms:W3CDTF">2026-10-10T09:53:25Z</dcterms:created>
  <dcterms:modified xsi:type="dcterms:W3CDTF">2026-10-10T09:53:25Z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