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EduPro Solutions Indonesia</w:t>
      </w:r>
    </w:p>
    <w:p>
      <w:pPr>
        <w:pStyle w:val="BodyText"/>
      </w:pPr>
      <w:r>
        <w:t xml:space="preserve">Jl. Jend. Sudirman Kav. 52-53, Menara Sudirman Floor 18, Jakarta Selatan 12190, Indonesia Jakarta</w:t>
      </w:r>
    </w:p>
    <w:p>
      <w:pPr>
        <w:pStyle w:val="BodyText"/>
      </w:pPr>
      <w:r>
        <w:t xml:space="preserve">Tel: +62 21 520 8800 | Email: quotation@edupro-solutions.co.id</w:t>
      </w:r>
    </w:p>
    <w:p>
      <w:pPr>
        <w:pStyle w:val="BodyText"/>
      </w:pPr>
      <w:r>
        <w:t xml:space="preserve">NPWP: 01.234.567.8-011.000</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QE-EA-JKT-2025-0417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Validity Period</w:t>
            </w:r>
          </w:p>
        </w:tc>
        <w:tc>
          <w:tcPr/>
          <w:p>
            <w:pPr>
              <w:pStyle w:val="Compact"/>
              <w:jc w:val="left"/>
            </w:pPr>
            <w:r>
              <w:t xml:space="preserve">30 days from date of issue (until 17 July 2025)</w:t>
            </w:r>
          </w:p>
        </w:tc>
      </w:tr>
      <w:tr>
        <w:tc>
          <w:tcPr/>
          <w:p>
            <w:pPr>
              <w:pStyle w:val="Compact"/>
              <w:jc w:val="left"/>
            </w:pPr>
            <w:r>
              <w:t xml:space="preserve">Prepared For</w:t>
            </w:r>
          </w:p>
        </w:tc>
        <w:tc>
          <w:tcPr/>
          <w:p>
            <w:pPr>
              <w:pStyle w:val="Compact"/>
              <w:jc w:val="left"/>
            </w:pPr>
            <w:r>
              <w:t xml:space="preserve">PT Nusantara Global Education Group</w:t>
            </w:r>
            <w:r>
              <w:br/>
            </w:r>
            <w:r>
              <w:t xml:space="preserve">Jl. Gatot Subroto Kav. 28, Jakarta Pusat 10310, Indonesia Jakarta</w:t>
            </w:r>
          </w:p>
        </w:tc>
      </w:tr>
      <w:tr>
        <w:tc>
          <w:tcPr/>
          <w:p>
            <w:pPr>
              <w:pStyle w:val="Compact"/>
              <w:jc w:val="left"/>
            </w:pPr>
            <w:r>
              <w:t xml:space="preserve">Prepared By</w:t>
            </w:r>
          </w:p>
        </w:tc>
        <w:tc>
          <w:tcPr/>
          <w:p>
            <w:pPr>
              <w:pStyle w:val="Compact"/>
              <w:jc w:val="left"/>
            </w:pPr>
            <w:r>
              <w:t xml:space="preserve">Andi Wijaya, Senior Account Manager</w:t>
            </w:r>
          </w:p>
        </w:tc>
      </w:tr>
      <w:tr>
        <w:tc>
          <w:tcPr/>
          <w:p>
            <w:pPr>
              <w:pStyle w:val="Compact"/>
              <w:jc w:val="left"/>
            </w:pPr>
            <w:r>
              <w:t xml:space="preserve">Subject</w:t>
            </w:r>
          </w:p>
        </w:tc>
        <w:tc>
          <w:tcPr/>
          <w:p>
            <w:pPr>
              <w:pStyle w:val="Compact"/>
              <w:jc w:val="left"/>
            </w:pPr>
            <w:r>
              <w:t xml:space="preserve">Quotation Estimate for Education Administrator Services in Indonesia Jakarta</w:t>
            </w:r>
          </w:p>
        </w:tc>
      </w:tr>
    </w:tbl>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PT EduPro Solutions Indonesia to PT Nusantara Global Education Group for the provision of a dedicated</w:t>
      </w:r>
      <w:r>
        <w:t xml:space="preserve"> </w:t>
      </w:r>
      <w:r>
        <w:t xml:space="preserve">Education Administrator</w:t>
      </w:r>
      <w:r>
        <w:t xml:space="preserve"> </w:t>
      </w:r>
      <w:r>
        <w:t xml:space="preserve">to support the day-to-day operational management of educational programs within the Indonesia Jakarta metropolitan area. This document outlines the scope of services, associated costs, payment terms, and conditions governing the engagement of the</w:t>
      </w:r>
      <w:r>
        <w:t xml:space="preserve"> </w:t>
      </w:r>
      <w:r>
        <w:t xml:space="preserve">Education Administrator</w:t>
      </w:r>
      <w:r>
        <w:t xml:space="preserve"> </w:t>
      </w:r>
      <w:r>
        <w:t xml:space="preserve">role as requested by the client.</w:t>
      </w:r>
    </w:p>
    <w:p>
      <w:pPr>
        <w:pStyle w:val="BodyText"/>
      </w:pPr>
      <w:r>
        <w:t xml:space="preserve">The</w:t>
      </w:r>
      <w:r>
        <w:t xml:space="preserve"> </w:t>
      </w:r>
      <w:r>
        <w:t xml:space="preserve">Education Administrator</w:t>
      </w:r>
      <w:r>
        <w:t xml:space="preserve"> </w:t>
      </w:r>
      <w:r>
        <w:t xml:space="preserve">will be stationed at the client's primary office in Indonesia Jakarta and will report directly to the Director of Academic Operations. The role is designed to ensure seamless coordination of curricula, faculty scheduling, student records management, accreditation compliance, and inter-departmental communication across all educational facilities operated by the client in the Indonesia Jakarta region.</w:t>
      </w:r>
    </w:p>
    <w:bookmarkEnd w:id="21"/>
    <w:bookmarkStart w:id="22" w:name="Xb766d85ea3045f87fd2558e5c3448acd2eb1c02"/>
    <w:p>
      <w:pPr>
        <w:pStyle w:val="Heading2"/>
      </w:pPr>
      <w:r>
        <w:t xml:space="preserve">2. Scope of Services – Education Administrator</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shall perform the following duties and responsibilities:</w:t>
      </w:r>
    </w:p>
    <w:p>
      <w:pPr>
        <w:numPr>
          <w:ilvl w:val="0"/>
          <w:numId w:val="1001"/>
        </w:numPr>
        <w:pStyle w:val="Compact"/>
      </w:pPr>
      <w:r>
        <w:t xml:space="preserve">Oversee the administrative operations of all academic departments located in Indonesia Jakarta, including scheduling, enrollment processing, and transcript management.</w:t>
      </w:r>
    </w:p>
    <w:p>
      <w:pPr>
        <w:numPr>
          <w:ilvl w:val="0"/>
          <w:numId w:val="1001"/>
        </w:numPr>
        <w:pStyle w:val="Compact"/>
      </w:pPr>
      <w:r>
        <w:t xml:space="preserve">Coordinate with faculty and teaching staff to ensure timely delivery of curricula aligned with the Indonesian national education standards (Kemdikbud) and international accreditation requirements.</w:t>
      </w:r>
    </w:p>
    <w:p>
      <w:pPr>
        <w:numPr>
          <w:ilvl w:val="0"/>
          <w:numId w:val="1001"/>
        </w:numPr>
        <w:pStyle w:val="Compact"/>
      </w:pPr>
      <w:r>
        <w:t xml:space="preserve">Manage student records, attendance tracking, and communication with parents or guardians for all programs based in Indonesia Jakarta.</w:t>
      </w:r>
    </w:p>
    <w:p>
      <w:pPr>
        <w:numPr>
          <w:ilvl w:val="0"/>
          <w:numId w:val="1001"/>
        </w:numPr>
        <w:pStyle w:val="Compact"/>
      </w:pPr>
      <w:r>
        <w:t xml:space="preserve">Prepare and submit monthly and quarterly operational reports to senior management, including budget utilization, enrollment statistics, and compliance audits.</w:t>
      </w:r>
    </w:p>
    <w:p>
      <w:pPr>
        <w:numPr>
          <w:ilvl w:val="0"/>
          <w:numId w:val="1001"/>
        </w:numPr>
        <w:pStyle w:val="Compact"/>
      </w:pPr>
      <w:r>
        <w:t xml:space="preserve">Liaise with government education authorities in Indonesia Jakarta, including the local Dinas Pendidikan and relevant accreditation bodies, to maintain institutional licensing and compliance.</w:t>
      </w:r>
    </w:p>
    <w:p>
      <w:pPr>
        <w:numPr>
          <w:ilvl w:val="0"/>
          <w:numId w:val="1001"/>
        </w:numPr>
        <w:pStyle w:val="Compact"/>
      </w:pPr>
      <w:r>
        <w:t xml:space="preserve">Organize and coordinate academic events, examinations, and certification ceremonies held at the client's Indonesia Jakarta campuses.</w:t>
      </w:r>
    </w:p>
    <w:p>
      <w:pPr>
        <w:numPr>
          <w:ilvl w:val="0"/>
          <w:numId w:val="1001"/>
        </w:numPr>
        <w:pStyle w:val="Compact"/>
      </w:pPr>
      <w:r>
        <w:t xml:space="preserve">Supervise a team of up to six (6) administrative support staff assigned to the Education Administrator's division.</w:t>
      </w:r>
    </w:p>
    <w:p>
      <w:pPr>
        <w:numPr>
          <w:ilvl w:val="0"/>
          <w:numId w:val="1001"/>
        </w:numPr>
        <w:pStyle w:val="Compact"/>
      </w:pPr>
      <w:r>
        <w:t xml:space="preserve">Implement and maintain digital education management systems (ERP) used across all Indonesia Jakarta locations.</w:t>
      </w:r>
    </w:p>
    <w:bookmarkEnd w:id="22"/>
    <w:bookmarkStart w:id="23" w:name="cost-breakdown"/>
    <w:p>
      <w:pPr>
        <w:pStyle w:val="Heading2"/>
      </w:pPr>
      <w:r>
        <w:t xml:space="preserve">3. Cost Breakdown</w:t>
      </w:r>
    </w:p>
    <w:p>
      <w:pPr>
        <w:pStyle w:val="FirstParagraph"/>
      </w:pPr>
      <w:r>
        <w:t xml:space="preserve">The following</w:t>
      </w:r>
      <w:r>
        <w:t xml:space="preserve"> </w:t>
      </w:r>
      <w:r>
        <w:t xml:space="preserve">Quotation Estimate</w:t>
      </w:r>
      <w:r>
        <w:t xml:space="preserve"> </w:t>
      </w:r>
      <w:r>
        <w:t xml:space="preserve">details the total cost for the engagement of the</w:t>
      </w:r>
      <w:r>
        <w:t xml:space="preserve"> </w:t>
      </w:r>
      <w:r>
        <w:t xml:space="preserve">Education Administrator</w:t>
      </w:r>
      <w:r>
        <w:t xml:space="preserve"> </w:t>
      </w:r>
      <w:r>
        <w:t xml:space="preserve">for a twelve (12) month contract period, effective from 1 August 2025 to 31 July 2026:</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Monthly salary of Education Administrator (senior level, 5+ years experience in education administration in Indonesia Jakarta)</w:t>
            </w:r>
          </w:p>
        </w:tc>
        <w:tc>
          <w:tcPr/>
          <w:p>
            <w:pPr>
              <w:pStyle w:val="Compact"/>
              <w:jc w:val="left"/>
            </w:pPr>
            <w:r>
              <w:t xml:space="preserve">12 months</w:t>
            </w:r>
          </w:p>
        </w:tc>
        <w:tc>
          <w:tcPr/>
          <w:p>
            <w:pPr>
              <w:pStyle w:val="Compact"/>
              <w:jc w:val="left"/>
            </w:pPr>
            <w:r>
              <w:t xml:space="preserve">38,500,000</w:t>
            </w:r>
          </w:p>
        </w:tc>
        <w:tc>
          <w:tcPr/>
          <w:p>
            <w:pPr>
              <w:pStyle w:val="Compact"/>
              <w:jc w:val="left"/>
            </w:pPr>
            <w:r>
              <w:t xml:space="preserve">462,000,000</w:t>
            </w:r>
          </w:p>
        </w:tc>
      </w:tr>
      <w:tr>
        <w:tc>
          <w:tcPr/>
          <w:p>
            <w:pPr>
              <w:pStyle w:val="Compact"/>
              <w:jc w:val="left"/>
            </w:pPr>
            <w:r>
              <w:t xml:space="preserve">2</w:t>
            </w:r>
          </w:p>
        </w:tc>
        <w:tc>
          <w:tcPr/>
          <w:p>
            <w:pPr>
              <w:pStyle w:val="Compact"/>
              <w:jc w:val="left"/>
            </w:pPr>
            <w:r>
              <w:t xml:space="preserve">Employer mandatory benefits (BPJS Kesehatan, BPJS Ketenagakerjaan, THR, annual leave accrual)</w:t>
            </w:r>
          </w:p>
        </w:tc>
        <w:tc>
          <w:tcPr/>
          <w:p>
            <w:pPr>
              <w:pStyle w:val="Compact"/>
              <w:jc w:val="left"/>
            </w:pPr>
            <w:r>
              <w:t xml:space="preserve">12 months</w:t>
            </w:r>
          </w:p>
        </w:tc>
        <w:tc>
          <w:tcPr/>
          <w:p>
            <w:pPr>
              <w:pStyle w:val="Compact"/>
              <w:jc w:val="left"/>
            </w:pPr>
            <w:r>
              <w:t xml:space="preserve">9,200,000</w:t>
            </w:r>
          </w:p>
        </w:tc>
        <w:tc>
          <w:tcPr/>
          <w:p>
            <w:pPr>
              <w:pStyle w:val="Compact"/>
              <w:jc w:val="left"/>
            </w:pPr>
            <w:r>
              <w:t xml:space="preserve">110,400,000</w:t>
            </w:r>
          </w:p>
        </w:tc>
      </w:tr>
      <w:tr>
        <w:tc>
          <w:tcPr/>
          <w:p>
            <w:pPr>
              <w:pStyle w:val="Compact"/>
              <w:jc w:val="left"/>
            </w:pPr>
            <w:r>
              <w:t xml:space="preserve">3</w:t>
            </w:r>
          </w:p>
        </w:tc>
        <w:tc>
          <w:tcPr/>
          <w:p>
            <w:pPr>
              <w:pStyle w:val="Compact"/>
              <w:jc w:val="left"/>
            </w:pPr>
            <w:r>
              <w:t xml:space="preserve">Office workstation, software licenses, and IT equipment allocation for the Education Administrator</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Professional development and certification training (education management, accreditation standards, digital systems)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5</w:t>
            </w:r>
          </w:p>
        </w:tc>
        <w:tc>
          <w:tcPr/>
          <w:p>
            <w:pPr>
              <w:pStyle w:val="Compact"/>
              <w:jc w:val="left"/>
            </w:pPr>
            <w:r>
              <w:t xml:space="preserve">Administrative support staff (6 personnel) – salaries and benefits</w:t>
            </w:r>
          </w:p>
        </w:tc>
        <w:tc>
          <w:tcPr/>
          <w:p>
            <w:pPr>
              <w:pStyle w:val="Compact"/>
              <w:jc w:val="left"/>
            </w:pPr>
            <w:r>
              <w:t xml:space="preserve">12 months</w:t>
            </w:r>
          </w:p>
        </w:tc>
        <w:tc>
          <w:tcPr/>
          <w:p>
            <w:pPr>
              <w:pStyle w:val="Compact"/>
              <w:jc w:val="left"/>
            </w:pPr>
            <w:r>
              <w:t xml:space="preserve">14,500,000</w:t>
            </w:r>
          </w:p>
        </w:tc>
        <w:tc>
          <w:tcPr/>
          <w:p>
            <w:pPr>
              <w:pStyle w:val="Compact"/>
              <w:jc w:val="left"/>
            </w:pPr>
            <w:r>
              <w:t xml:space="preserve">1,044,000,000</w:t>
            </w:r>
          </w:p>
        </w:tc>
      </w:tr>
      <w:tr>
        <w:tc>
          <w:tcPr/>
          <w:p>
            <w:pPr>
              <w:pStyle w:val="Compact"/>
              <w:jc w:val="left"/>
            </w:pPr>
            <w:r>
              <w:t xml:space="preserve">6</w:t>
            </w:r>
          </w:p>
        </w:tc>
        <w:tc>
          <w:tcPr/>
          <w:p>
            <w:pPr>
              <w:pStyle w:val="Compact"/>
              <w:jc w:val="left"/>
            </w:pPr>
            <w:r>
              <w:t xml:space="preserve">Office space and utilities allocation (Indonesia Jakarta – Sudirman CBD office)</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7</w:t>
            </w:r>
          </w:p>
        </w:tc>
        <w:tc>
          <w:tcPr/>
          <w:p>
            <w:pPr>
              <w:pStyle w:val="Compact"/>
              <w:jc w:val="left"/>
            </w:pPr>
            <w:r>
              <w:t xml:space="preserve">Management and coordination fee (PT EduPro Solutions Indonesia)</w:t>
            </w:r>
          </w:p>
        </w:tc>
        <w:tc>
          <w:tcPr/>
          <w:p>
            <w:pPr>
              <w:pStyle w:val="Compact"/>
              <w:jc w:val="left"/>
            </w:pPr>
            <w:r>
              <w:t xml:space="preserve">12 months</w:t>
            </w:r>
          </w:p>
        </w:tc>
        <w:tc>
          <w:tcPr/>
          <w:p>
            <w:pPr>
              <w:pStyle w:val="Compact"/>
              <w:jc w:val="left"/>
            </w:pPr>
            <w:r>
              <w:t xml:space="preserve">5,500,000</w:t>
            </w:r>
          </w:p>
        </w:tc>
        <w:tc>
          <w:tcPr/>
          <w:p>
            <w:pPr>
              <w:pStyle w:val="Compact"/>
              <w:jc w:val="left"/>
            </w:pPr>
            <w:r>
              <w:t xml:space="preserve">66,000,000</w:t>
            </w:r>
          </w:p>
        </w:tc>
      </w:tr>
      <w:tr>
        <w:tc>
          <w:tcPr>
            <w:gridSpan w:val="4"/>
          </w:tcPr>
          <w:p>
            <w:pPr>
              <w:pStyle w:val="Compact"/>
              <w:jc w:val="left"/>
            </w:pPr>
            <w:r>
              <w:t xml:space="preserve">Subtotal (IDR)</w:t>
            </w:r>
          </w:p>
        </w:tc>
        <w:tc>
          <w:tcPr/>
          <w:p>
            <w:pPr>
              <w:pStyle w:val="Compact"/>
              <w:jc w:val="left"/>
            </w:pPr>
            <w:r>
              <w:t xml:space="preserve">1,902,000,000</w:t>
            </w:r>
          </w:p>
        </w:tc>
      </w:tr>
      <w:tr>
        <w:tc>
          <w:tcPr>
            <w:gridSpan w:val="4"/>
          </w:tcPr>
          <w:p>
            <w:pPr>
              <w:pStyle w:val="Compact"/>
              <w:jc w:val="left"/>
            </w:pPr>
            <w:r>
              <w:t xml:space="preserve">VAT (PPN) 11%</w:t>
            </w:r>
          </w:p>
        </w:tc>
        <w:tc>
          <w:tcPr/>
          <w:p>
            <w:pPr>
              <w:pStyle w:val="Compact"/>
              <w:jc w:val="left"/>
            </w:pPr>
            <w:r>
              <w:t xml:space="preserve">209,220,000</w:t>
            </w:r>
          </w:p>
        </w:tc>
      </w:tr>
      <w:tr>
        <w:tc>
          <w:tcPr>
            <w:gridSpan w:val="4"/>
          </w:tcPr>
          <w:p>
            <w:pPr>
              <w:pStyle w:val="Compact"/>
              <w:jc w:val="left"/>
            </w:pPr>
            <w:r>
              <w:rPr>
                <w:bCs/>
                <w:b/>
              </w:rPr>
              <w:t xml:space="preserve">GRAND TOTAL (IDR)</w:t>
            </w:r>
          </w:p>
        </w:tc>
        <w:tc>
          <w:tcPr/>
          <w:p>
            <w:pPr>
              <w:pStyle w:val="Compact"/>
              <w:jc w:val="left"/>
            </w:pPr>
            <w:r>
              <w:rPr>
                <w:bCs/>
                <w:b/>
              </w:rPr>
              <w:t xml:space="preserve">2,111,220,000</w:t>
            </w:r>
          </w:p>
        </w:tc>
      </w:tr>
    </w:tbl>
    <w:p>
      <w:pPr>
        <w:pStyle w:val="BodyText"/>
      </w:pPr>
      <w:r>
        <w:rPr>
          <w:iCs/>
          <w:i/>
        </w:rPr>
        <w:t xml:space="preserve">All costs are quoted in Indonesian Rupiah (IDR). The total amount of this Quotation Estimate is equivalent to approximately USD 131,000 at the prevailing exchange rate. All figures are exclusive of any additional government levies that may be imposed by the Indonesia Jakarta municipal authority during the contract period.</w:t>
      </w:r>
    </w:p>
    <w:bookmarkEnd w:id="23"/>
    <w:bookmarkStart w:id="24"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30% of the total Quotation Estimate amount (IDR 633,366,000) due within seven (7) business days of contract signing.</w:t>
      </w:r>
    </w:p>
    <w:p>
      <w:pPr>
        <w:numPr>
          <w:ilvl w:val="0"/>
          <w:numId w:val="1002"/>
        </w:numPr>
        <w:pStyle w:val="Compact"/>
      </w:pPr>
      <w:r>
        <w:rPr>
          <w:bCs/>
          <w:b/>
        </w:rPr>
        <w:t xml:space="preserve">Monthly Installments:</w:t>
      </w:r>
      <w:r>
        <w:t xml:space="preserve"> </w:t>
      </w:r>
      <w:r>
        <w:t xml:space="preserve">The remaining 70% shall be paid in twelve (12) equal monthly installments of IDR 124,544,500, due on the 5th business day of each month.</w:t>
      </w:r>
    </w:p>
    <w:p>
      <w:pPr>
        <w:numPr>
          <w:ilvl w:val="0"/>
          <w:numId w:val="1002"/>
        </w:numPr>
        <w:pStyle w:val="Compact"/>
      </w:pPr>
      <w:r>
        <w:rPr>
          <w:bCs/>
          <w:b/>
        </w:rPr>
        <w:t xml:space="preserve">Payment Method:</w:t>
      </w:r>
      <w:r>
        <w:t xml:space="preserve"> </w:t>
      </w:r>
      <w:r>
        <w:t xml:space="preserve">Bank transfer to PT EduPro Solutions Indonesia, Bank Mandiri, Account No. 123-00-456789-1, Branch: Jakarta Sudirman.</w:t>
      </w:r>
    </w:p>
    <w:p>
      <w:pPr>
        <w:numPr>
          <w:ilvl w:val="0"/>
          <w:numId w:val="1002"/>
        </w:numPr>
        <w:pStyle w:val="Compact"/>
      </w:pPr>
      <w:r>
        <w:rPr>
          <w:bCs/>
          <w:b/>
        </w:rPr>
        <w:t xml:space="preserve">Late Payment:</w:t>
      </w:r>
      <w:r>
        <w:t xml:space="preserve"> </w:t>
      </w:r>
      <w:r>
        <w:t xml:space="preserve">A penalty of 2% per month shall apply to any overdue installment beyond a 10-day grace period.</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Beyond this period, pricing may be subject to revision based on market conditions in Indonesia Jakarta.</w:t>
      </w:r>
    </w:p>
    <w:p>
      <w:pPr>
        <w:numPr>
          <w:ilvl w:val="0"/>
          <w:numId w:val="1003"/>
        </w:numPr>
        <w:pStyle w:val="Compact"/>
      </w:pPr>
      <w:r>
        <w:t xml:space="preserve">The Education Administrator shall be subject to a 90-day probationary period. During this period, either party may terminate the engagement with 14 days' written notice.</w:t>
      </w:r>
    </w:p>
    <w:p>
      <w:pPr>
        <w:numPr>
          <w:ilvl w:val="0"/>
          <w:numId w:val="1003"/>
        </w:numPr>
        <w:pStyle w:val="Compact"/>
      </w:pPr>
      <w:r>
        <w:t xml:space="preserve">PT EduPro Solutions Indonesia guarantees the Education Administrator's qualifications, including a minimum of a Bachelor's degree in Education Management or equivalent, and a minimum of five (5) years of relevant experience in educational administration within Indonesia Jakarta or comparable metropolitan areas.</w:t>
      </w:r>
    </w:p>
    <w:p>
      <w:pPr>
        <w:numPr>
          <w:ilvl w:val="0"/>
          <w:numId w:val="1003"/>
        </w:numPr>
        <w:pStyle w:val="Compact"/>
      </w:pPr>
      <w:r>
        <w:t xml:space="preserve">All intellectual property, student data, and institutional records handled by the Education Administrator shall remain the exclusive property of PT Nusantara Global Education Group, in compliance with Indonesia's Personal Data Protection Law (UU PDP No. 27/2022).</w:t>
      </w:r>
    </w:p>
    <w:p>
      <w:pPr>
        <w:numPr>
          <w:ilvl w:val="0"/>
          <w:numId w:val="1003"/>
        </w:numPr>
        <w:pStyle w:val="Compact"/>
      </w:pPr>
      <w:r>
        <w:t xml:space="preserve">This Quotation Estimate does not constitute a binding contract until both parties have executed the formal Service Agreement in writing.</w:t>
      </w:r>
    </w:p>
    <w:p>
      <w:pPr>
        <w:numPr>
          <w:ilvl w:val="0"/>
          <w:numId w:val="1003"/>
        </w:numPr>
        <w:pStyle w:val="Compact"/>
      </w:pPr>
      <w:r>
        <w:t xml:space="preserve">Any disputes arising from this engagement shall be resolved through mediation in Indonesia Jakarta, in accordance with the laws of the Republic of Indonesia.</w:t>
      </w:r>
    </w:p>
    <w:p>
      <w:pPr>
        <w:numPr>
          <w:ilvl w:val="0"/>
          <w:numId w:val="1003"/>
        </w:numPr>
        <w:pStyle w:val="Compact"/>
      </w:pPr>
      <w:r>
        <w:t xml:space="preserve">The Education Administrator shall adhere to all applicable labor laws, including the Indonesian Manpower Law (UU No. 13/2003) and local Jakarta municipal regulations.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cost structure outlined in this Quotation Estimate for the Education Administrator services in Indonesia Jakarta.</w:t>
      </w:r>
    </w:p>
    <w:p>
      <w:pPr>
        <w:pStyle w:val="BodyText"/>
      </w:pPr>
      <w:r>
        <w:rPr>
          <w:bCs/>
          <w:b/>
        </w:rPr>
        <w:t xml:space="preserve">For and on behalf of</w:t>
      </w:r>
    </w:p>
    <w:p>
      <w:pPr>
        <w:pStyle w:val="BodyText"/>
      </w:pPr>
      <w:r>
        <w:rPr>
          <w:bCs/>
          <w:b/>
        </w:rPr>
        <w:t xml:space="preserve">PT EduPro Solutions Indonesia</w:t>
      </w:r>
    </w:p>
    <w:p>
      <w:pPr>
        <w:pStyle w:val="BodyText"/>
      </w:pPr>
      <w:r>
        <w:t xml:space="preserve">(Provider)</w:t>
      </w:r>
    </w:p>
    <w:p>
      <w:pPr>
        <w:pStyle w:val="BodyText"/>
      </w:pPr>
      <w:r>
        <w:t xml:space="preserve">Andi Wijaya</w:t>
      </w:r>
      <w:r>
        <w:br/>
      </w:r>
      <w:r>
        <w:t xml:space="preserve">Senior Account Manager</w:t>
      </w:r>
      <w:r>
        <w:br/>
      </w:r>
      <w:r>
        <w:t xml:space="preserve">Date: _______________</w:t>
      </w:r>
    </w:p>
    <w:p>
      <w:pPr>
        <w:pStyle w:val="BodyText"/>
      </w:pPr>
      <w:r>
        <w:rPr>
          <w:bCs/>
          <w:b/>
        </w:rPr>
        <w:t xml:space="preserve">For and on behalf of</w:t>
      </w:r>
    </w:p>
    <w:p>
      <w:pPr>
        <w:pStyle w:val="BodyText"/>
      </w:pPr>
      <w:r>
        <w:rPr>
          <w:bCs/>
          <w:b/>
        </w:rPr>
        <w:t xml:space="preserve">PT Nusantara Global Education Group</w:t>
      </w:r>
    </w:p>
    <w:p>
      <w:pPr>
        <w:pStyle w:val="BodyText"/>
      </w:pPr>
      <w:r>
        <w:t xml:space="preserve">(Client)</w:t>
      </w:r>
    </w:p>
    <w:p>
      <w:pPr>
        <w:pStyle w:val="BodyText"/>
      </w:pPr>
      <w:r>
        <w:t xml:space="preserve">_________________________</w:t>
      </w:r>
      <w:r>
        <w:br/>
      </w:r>
      <w:r>
        <w:t xml:space="preserve">Director of Academic Operations</w:t>
      </w:r>
      <w:r>
        <w:br/>
      </w:r>
      <w:r>
        <w:t xml:space="preserve">Date: _______________</w:t>
      </w:r>
    </w:p>
    <w:p>
      <w:pPr>
        <w:pStyle w:val="BodyText"/>
      </w:pPr>
      <w:r>
        <w:t xml:space="preserve">This Quotation Estimate (QE-EA-JKT-2025-0417) is the property of PT EduPro Solutions Indonesia. Unauthorized reproduction or distribution is prohibited. For inquiries regarding this Quotation Estimate for Education Administrator services in Indonesia Jakarta, please contact quotation@edupro-solutions.co.id or call +62 21 520 8800.</w:t>
      </w:r>
    </w:p>
    <w:p>
      <w:pPr>
        <w:pStyle w:val="BodyText"/>
      </w:pPr>
      <w:r>
        <w:t xml:space="preserve">© 2025 PT EduPro Solutions Indonesia.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Indonesia Jakarta</dc:title>
  <dc:creator/>
  <dc:language>en</dc:language>
  <cp:keywords/>
  <dcterms:created xsi:type="dcterms:W3CDTF">2026-10-10T06:53:41Z</dcterms:created>
  <dcterms:modified xsi:type="dcterms:W3CDTF">2026-10-10T06:53:41Z</dcterms:modified>
</cp:coreProperties>
</file>

<file path=docProps/custom.xml><?xml version="1.0" encoding="utf-8"?>
<Properties xmlns="http://schemas.openxmlformats.org/officeDocument/2006/custom-properties" xmlns:vt="http://schemas.openxmlformats.org/officeDocument/2006/docPropsVTypes"/>
</file>