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Services for Education Administrator Placement &amp; Ongoing Support</w:t>
      </w:r>
    </w:p>
    <w:p>
      <w:pPr>
        <w:pStyle w:val="BodyText"/>
      </w:pPr>
      <w:r>
        <w:t xml:space="preserve">Prepared for the Japan Kyoto Education Sector</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KYO-EDU-2025-0472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Kyoto International Education Consulting Co., Ltd.</w:t>
            </w:r>
          </w:p>
        </w:tc>
        <w:tc>
          <w:tcPr/>
          <w:p>
            <w:pPr>
              <w:pStyle w:val="Compact"/>
              <w:jc w:val="left"/>
            </w:pPr>
            <w:r>
              <w:t xml:space="preserve">Location:</w:t>
            </w:r>
          </w:p>
        </w:tc>
        <w:tc>
          <w:tcPr/>
          <w:p>
            <w:pPr>
              <w:pStyle w:val="Compact"/>
              <w:jc w:val="left"/>
            </w:pPr>
            <w:r>
              <w:t xml:space="preserve">Higashiyama-ku, Kyoto, Japan</w:t>
            </w:r>
          </w:p>
        </w:tc>
      </w:tr>
      <w:tr>
        <w:tc>
          <w:tcPr/>
          <w:p>
            <w:pPr>
              <w:pStyle w:val="Compact"/>
              <w:jc w:val="left"/>
            </w:pPr>
            <w:r>
              <w:t xml:space="preserve">Client:</w:t>
            </w:r>
          </w:p>
        </w:tc>
        <w:tc>
          <w:tcPr/>
          <w:p>
            <w:pPr>
              <w:pStyle w:val="Compact"/>
              <w:jc w:val="left"/>
            </w:pPr>
            <w:r>
              <w:t xml:space="preserve">Kyoto Municipal Education Board / Designated Institution</w:t>
            </w:r>
          </w:p>
        </w:tc>
        <w:tc>
          <w:tcPr/>
          <w:p>
            <w:pPr>
              <w:pStyle w:val="Compact"/>
              <w:jc w:val="left"/>
            </w:pPr>
            <w:r>
              <w:t xml:space="preserve">Contact:</w:t>
            </w:r>
          </w:p>
        </w:tc>
        <w:tc>
          <w:tcPr/>
          <w:p>
            <w:pPr>
              <w:pStyle w:val="Compact"/>
              <w:jc w:val="left"/>
            </w:pPr>
            <w:r>
              <w:t xml:space="preserve">Office of International Affairs, Kyoto City</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Kyoto International Education Consulting Co., Ltd. to provide a comprehensive cost breakdown for the recruitment, placement, and ongoing professional support of an</w:t>
      </w:r>
      <w:r>
        <w:t xml:space="preserve"> </w:t>
      </w:r>
      <w:r>
        <w:rPr>
          <w:bCs/>
          <w:b/>
        </w:rPr>
        <w:t xml:space="preserve">Education Administrator</w:t>
      </w:r>
      <w:r>
        <w:t xml:space="preserve"> </w:t>
      </w:r>
      <w:r>
        <w:t xml:space="preserve">within the educational institutions of Japan Kyoto. The Education Administrator role is critical to the operational management of academic programs, curriculum coordination, faculty scheduling, student affairs oversight, and compliance with the Japanese Ministry of Education, Culture, Sports, Science and Technology (MEXT) regulations as applied in the Kyoto prefectural and municipal education systems.</w:t>
      </w:r>
    </w:p>
    <w:p>
      <w:pPr>
        <w:pStyle w:val="BodyText"/>
      </w:pPr>
      <w:r>
        <w:t xml:space="preserve">The scope of this Quotation Estimate covers all professional services required to identify, vet, onboard, and support a qualified Education Administrator who will serve in a full-time capacity at a designated educational institution in the Japan Kyoto region. This includes but is not limited to candidate sourcing, background verification, visa and residency coordination specific to Japan Kyoto immigration procedures, cultural orientation, and a twelve-month post-placement support period.</w:t>
      </w:r>
    </w:p>
    <w:bookmarkEnd w:id="21"/>
    <w:bookmarkStart w:id="22" w:name="itemized-cost-breakdown"/>
    <w:p>
      <w:pPr>
        <w:pStyle w:val="Heading2"/>
      </w:pPr>
      <w:r>
        <w:t xml:space="preserve">2. Itemized Cost Breakdown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Cost (JPY)</w:t>
            </w:r>
          </w:p>
        </w:tc>
        <w:tc>
          <w:tcPr/>
          <w:p>
            <w:pPr>
              <w:pStyle w:val="Compact"/>
              <w:jc w:val="left"/>
            </w:pPr>
            <w:r>
              <w:t xml:space="preserve">Subtotal (JPY)</w:t>
            </w:r>
          </w:p>
        </w:tc>
      </w:tr>
      <w:tr>
        <w:tc>
          <w:tcPr/>
          <w:p>
            <w:pPr>
              <w:pStyle w:val="Compact"/>
              <w:jc w:val="left"/>
            </w:pPr>
            <w:r>
              <w:t xml:space="preserve">1</w:t>
            </w:r>
          </w:p>
        </w:tc>
        <w:tc>
          <w:tcPr/>
          <w:p>
            <w:pPr>
              <w:pStyle w:val="Compact"/>
              <w:jc w:val="left"/>
            </w:pPr>
            <w:r>
              <w:t xml:space="preserve">Recruitment and Sourcing of Education Administrator Candidate – including job advertisement in Japan Kyoto education networks, international candidate databases, and university placement offices in Kyoto</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Screening, Interviewing, and Background Verification of Education Administrator Applicants – conducted in accordance with Japan Kyoto municipal employment standards and MEXT guidelines</w:t>
            </w:r>
          </w:p>
        </w:tc>
        <w:tc>
          <w:tcPr/>
          <w:p>
            <w:pPr>
              <w:pStyle w:val="Compact"/>
              <w:jc w:val="left"/>
            </w:pPr>
            <w:r>
              <w:t xml:space="preserve">1 engagement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Visa, Work Permit, and Residency Coordination for the Education Administrator in Japan Kyoto – including liaison with the Kyoto Regional Immigration Bureau and preparation of all required documentation</w:t>
            </w:r>
          </w:p>
        </w:tc>
        <w:tc>
          <w:tcPr/>
          <w:p>
            <w:pPr>
              <w:pStyle w:val="Compact"/>
              <w:jc w:val="left"/>
            </w:pPr>
            <w:r>
              <w:t xml:space="preserve">1 engagement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Cultural and Administrative Orientation Program for the Education Administrator – covering Japan Kyoto educational protocols, local governance structures, Japanese business etiquette, and MEXT compliance requirements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5</w:t>
            </w:r>
          </w:p>
        </w:tc>
        <w:tc>
          <w:tcPr/>
          <w:p>
            <w:pPr>
              <w:pStyle w:val="Compact"/>
              <w:jc w:val="left"/>
            </w:pPr>
            <w:r>
              <w:t xml:space="preserve">Onboarding and Integration Support for the Education Administrator at the designated Japan Kyoto institution – including office setup coordination, IT system access, and introduction to faculty and administrative staff</w:t>
            </w:r>
          </w:p>
        </w:tc>
        <w:tc>
          <w:tcPr/>
          <w:p>
            <w:pPr>
              <w:pStyle w:val="Compact"/>
              <w:jc w:val="left"/>
            </w:pPr>
            <w:r>
              <w:t xml:space="preserve">2 weeks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Twelve-Month Ongoing Advisory and Performance Support for the Education Administrator – quarterly reviews, MEXT compliance audits, and strategic planning sessions specific to Japan Kyoto educational objectives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Emergency Replacement and Contingency Planning for the Education Administrator Role in Japan Kyoto – guaranteeing a qualified interim administrator within 30 days should the primary candidate become unavailable</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8</w:t>
            </w:r>
          </w:p>
        </w:tc>
        <w:tc>
          <w:tcPr/>
          <w:p>
            <w:pPr>
              <w:pStyle w:val="Compact"/>
              <w:jc w:val="left"/>
            </w:pPr>
            <w:r>
              <w:t xml:space="preserve">Travel, Accommodation, and Logistics for the Education Administrator's Relocation to Japan Kyoto – including initial housing arrangement in Kyoto city, transportation from Kansai International Airport, and local registration (juminhyo) assistance</w:t>
            </w:r>
          </w:p>
        </w:tc>
        <w:tc>
          <w:tcPr/>
          <w:p>
            <w:pPr>
              <w:pStyle w:val="Compact"/>
              <w:jc w:val="left"/>
            </w:pPr>
            <w:r>
              <w:t xml:space="preserve">1 engagement</w:t>
            </w:r>
          </w:p>
        </w:tc>
        <w:tc>
          <w:tcPr/>
          <w:p>
            <w:pPr>
              <w:pStyle w:val="Compact"/>
              <w:jc w:val="left"/>
            </w:pPr>
            <w:r>
              <w:t xml:space="preserve">520,000</w:t>
            </w:r>
          </w:p>
        </w:tc>
        <w:tc>
          <w:tcPr/>
          <w:p>
            <w:pPr>
              <w:pStyle w:val="Compact"/>
              <w:jc w:val="left"/>
            </w:pPr>
            <w:r>
              <w:t xml:space="preserve">520,000</w:t>
            </w:r>
          </w:p>
        </w:tc>
      </w:tr>
      <w:tr>
        <w:tc>
          <w:tcPr>
            <w:gridSpan w:val="4"/>
          </w:tcPr>
          <w:p>
            <w:pPr>
              <w:pStyle w:val="Compact"/>
              <w:jc w:val="right"/>
            </w:pPr>
            <w:r>
              <w:t xml:space="preserve">Subtotal:</w:t>
            </w:r>
          </w:p>
        </w:tc>
        <w:tc>
          <w:tcPr/>
          <w:p>
            <w:pPr>
              <w:pStyle w:val="Compact"/>
              <w:jc w:val="left"/>
            </w:pPr>
            <w:r>
              <w:t xml:space="preserve">3,955,000</w:t>
            </w:r>
          </w:p>
        </w:tc>
      </w:tr>
      <w:tr>
        <w:tc>
          <w:tcPr>
            <w:gridSpan w:val="4"/>
          </w:tcPr>
          <w:p>
            <w:pPr>
              <w:pStyle w:val="Compact"/>
              <w:jc w:val="right"/>
            </w:pPr>
            <w:r>
              <w:t xml:space="preserve">Consumption Tax (10%):</w:t>
            </w:r>
          </w:p>
        </w:tc>
        <w:tc>
          <w:tcPr/>
          <w:p>
            <w:pPr>
              <w:pStyle w:val="Compact"/>
              <w:jc w:val="left"/>
            </w:pPr>
            <w:r>
              <w:t xml:space="preserve">395,500</w:t>
            </w:r>
          </w:p>
        </w:tc>
      </w:tr>
      <w:tr>
        <w:tc>
          <w:tcPr>
            <w:gridSpan w:val="4"/>
          </w:tcPr>
          <w:p>
            <w:pPr>
              <w:pStyle w:val="Compact"/>
              <w:jc w:val="right"/>
            </w:pPr>
            <w:r>
              <w:t xml:space="preserve">TOTAL ESTIMATED COST:</w:t>
            </w:r>
          </w:p>
        </w:tc>
        <w:tc>
          <w:tcPr/>
          <w:p>
            <w:pPr>
              <w:pStyle w:val="Compact"/>
              <w:jc w:val="left"/>
            </w:pPr>
            <w:r>
              <w:t xml:space="preserve">4,350,500 JPY</w:t>
            </w:r>
          </w:p>
        </w:tc>
      </w:tr>
    </w:tbl>
    <w:bookmarkEnd w:id="22"/>
    <w:bookmarkStart w:id="23" w:name="payment-schedule"/>
    <w:p>
      <w:pPr>
        <w:pStyle w:val="Heading2"/>
      </w:pPr>
      <w:r>
        <w:t xml:space="preserve">3. Payment Schedule</w:t>
      </w:r>
    </w:p>
    <w:p>
      <w:pPr>
        <w:pStyle w:val="FirstParagraph"/>
      </w:pPr>
      <w:r>
        <w:t xml:space="preserve">This Quotation Estimate stipulates the following payment milestones for the Education Administrator engagement in Japan Kyoto: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(JPY)</w:t>
            </w:r>
          </w:p>
        </w:tc>
        <w:tc>
          <w:tcPr/>
          <w:p>
            <w:pPr>
              <w:pStyle w:val="Compact"/>
              <w:jc w:val="left"/>
            </w:pPr>
            <w:r>
              <w:t xml:space="preserve">Due Date</w:t>
            </w:r>
          </w:p>
        </w:tc>
      </w:tr>
      <w:tr>
        <w:tc>
          <w:tcPr/>
          <w:p>
            <w:pPr>
              <w:pStyle w:val="Compact"/>
              <w:jc w:val="left"/>
            </w:pPr>
            <w:r>
              <w:t xml:space="preserve">Contract Execution and Quotation Estimate Acceptance</w:t>
            </w:r>
          </w:p>
        </w:tc>
        <w:tc>
          <w:tcPr/>
          <w:p>
            <w:pPr>
              <w:pStyle w:val="Compact"/>
              <w:jc w:val="left"/>
            </w:pPr>
            <w:r>
              <w:t xml:space="preserve">30%</w:t>
            </w:r>
          </w:p>
        </w:tc>
        <w:tc>
          <w:tcPr/>
          <w:p>
            <w:pPr>
              <w:pStyle w:val="Compact"/>
              <w:jc w:val="left"/>
            </w:pPr>
            <w:r>
              <w:t xml:space="preserve">1,305,150</w:t>
            </w:r>
          </w:p>
        </w:tc>
        <w:tc>
          <w:tcPr/>
          <w:p>
            <w:pPr>
              <w:pStyle w:val="Compact"/>
              <w:jc w:val="left"/>
            </w:pPr>
            <w:r>
              <w:t xml:space="preserve">Within 7 business days of signing</w:t>
            </w:r>
          </w:p>
        </w:tc>
      </w:tr>
      <w:tr>
        <w:tc>
          <w:tcPr/>
          <w:p>
            <w:pPr>
              <w:pStyle w:val="Compact"/>
              <w:jc w:val="left"/>
            </w:pPr>
            <w:r>
              <w:t xml:space="preserve">Successful Placement of Education Administrator in Japan Kyoto</w:t>
            </w:r>
          </w:p>
        </w:tc>
        <w:tc>
          <w:tcPr/>
          <w:p>
            <w:pPr>
              <w:pStyle w:val="Compact"/>
              <w:jc w:val="left"/>
            </w:pPr>
            <w:r>
              <w:t xml:space="preserve">40%</w:t>
            </w:r>
          </w:p>
        </w:tc>
        <w:tc>
          <w:tcPr/>
          <w:p>
            <w:pPr>
              <w:pStyle w:val="Compact"/>
              <w:jc w:val="left"/>
            </w:pPr>
            <w:r>
              <w:t xml:space="preserve">1,740,200</w:t>
            </w:r>
          </w:p>
        </w:tc>
        <w:tc>
          <w:tcPr/>
          <w:p>
            <w:pPr>
              <w:pStyle w:val="Compact"/>
              <w:jc w:val="left"/>
            </w:pPr>
            <w:r>
              <w:t xml:space="preserve">Upon commencement of duties</w:t>
            </w:r>
          </w:p>
        </w:tc>
      </w:tr>
      <w:tr>
        <w:tc>
          <w:tcPr/>
          <w:p>
            <w:pPr>
              <w:pStyle w:val="Compact"/>
              <w:jc w:val="left"/>
            </w:pPr>
            <w:r>
              <w:t xml:space="preserve">Completion of 6-Month Support Period</w:t>
            </w:r>
          </w:p>
        </w:tc>
        <w:tc>
          <w:tcPr/>
          <w:p>
            <w:pPr>
              <w:pStyle w:val="Compact"/>
              <w:jc w:val="left"/>
            </w:pPr>
            <w:r>
              <w:t xml:space="preserve">20%</w:t>
            </w:r>
          </w:p>
        </w:tc>
        <w:tc>
          <w:tcPr/>
          <w:p>
            <w:pPr>
              <w:pStyle w:val="Compact"/>
              <w:jc w:val="left"/>
            </w:pPr>
            <w:r>
              <w:t xml:space="preserve">870,100</w:t>
            </w:r>
          </w:p>
        </w:tc>
        <w:tc>
          <w:tcPr/>
          <w:p>
            <w:pPr>
              <w:pStyle w:val="Compact"/>
              <w:jc w:val="left"/>
            </w:pPr>
            <w:r>
              <w:t xml:space="preserve">Month 6 of engagement</w:t>
            </w:r>
          </w:p>
        </w:tc>
      </w:tr>
      <w:tr>
        <w:tc>
          <w:tcPr/>
          <w:p>
            <w:pPr>
              <w:pStyle w:val="Compact"/>
              <w:jc w:val="left"/>
            </w:pPr>
            <w:r>
              <w:t xml:space="preserve">Final Delivery and 12-Month Support Completion</w:t>
            </w:r>
          </w:p>
        </w:tc>
        <w:tc>
          <w:tcPr/>
          <w:p>
            <w:pPr>
              <w:pStyle w:val="Compact"/>
              <w:jc w:val="left"/>
            </w:pPr>
            <w:r>
              <w:t xml:space="preserve">10%</w:t>
            </w:r>
          </w:p>
        </w:tc>
        <w:tc>
          <w:tcPr/>
          <w:p>
            <w:pPr>
              <w:pStyle w:val="Compact"/>
              <w:jc w:val="left"/>
            </w:pPr>
            <w:r>
              <w:t xml:space="preserve">435,050</w:t>
            </w:r>
          </w:p>
        </w:tc>
        <w:tc>
          <w:tcPr/>
          <w:p>
            <w:pPr>
              <w:pStyle w:val="Compact"/>
              <w:jc w:val="left"/>
            </w:pPr>
            <w:r>
              <w:t xml:space="preserve">Month 12 of engagement</w:t>
            </w:r>
          </w:p>
        </w:tc>
      </w:tr>
    </w:tbl>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a period of ninety (90) calendar days from the date of issue. Beyond this period, all costs associated with the Education Administrator placement in Japan Kyoto are subject to revision based on prevailing market conditions, exchange rates, and MEXT regulatory updates.</w:t>
      </w:r>
    </w:p>
    <w:p>
      <w:pPr>
        <w:numPr>
          <w:ilvl w:val="0"/>
          <w:numId w:val="1001"/>
        </w:numPr>
        <w:pStyle w:val="Compact"/>
      </w:pPr>
      <w:r>
        <w:t xml:space="preserve">All services described in this Quotation Estimate shall be performed in strict compliance with Japanese labor law, the Japan Kyoto municipal education ordinances, and the standards set forth by the Ministry of Education, Culture, Sports, Science and Technology (MEXT).</w:t>
      </w:r>
    </w:p>
    <w:p>
      <w:pPr>
        <w:numPr>
          <w:ilvl w:val="0"/>
          <w:numId w:val="1001"/>
        </w:numPr>
        <w:pStyle w:val="Compact"/>
      </w:pPr>
      <w:r>
        <w:t xml:space="preserve">The Education Administrator shall be required to demonstrate proficiency in Japanese (JLPT N2 or equivalent) and a working knowledge of the Kyoto prefectural education framework. Failure to meet these criteria during the screening phase shall result in re-sourcing at no additional cost to the client.</w:t>
      </w:r>
    </w:p>
    <w:p>
      <w:pPr>
        <w:numPr>
          <w:ilvl w:val="0"/>
          <w:numId w:val="1001"/>
        </w:numPr>
        <w:pStyle w:val="Compact"/>
      </w:pPr>
      <w:r>
        <w:t xml:space="preserve">Confidentiality: All candidate data, institutional records, and administrative information pertaining to the Education Administrator role in Japan Kyoto shall be treated as strictly confidential in accordance with the Japanese Act on the Protection of Personal Information (APPI).</w:t>
      </w:r>
    </w:p>
    <w:p>
      <w:pPr>
        <w:numPr>
          <w:ilvl w:val="0"/>
          <w:numId w:val="1001"/>
        </w:numPr>
        <w:pStyle w:val="Compact"/>
      </w:pPr>
      <w:r>
        <w:t xml:space="preserve">Force Majeure: Neither party shall be liable for delays or non-performance resulting from natural disasters (including earthquakes and typhoons common to the Japan Kyoto region), government-mandated closures, or other events beyond reasonable control.</w:t>
      </w:r>
    </w:p>
    <w:p>
      <w:pPr>
        <w:numPr>
          <w:ilvl w:val="0"/>
          <w:numId w:val="1001"/>
        </w:numPr>
        <w:pStyle w:val="Compact"/>
      </w:pPr>
      <w:r>
        <w:t xml:space="preserve">Dispute Resolution: Any disputes arising from this Quotation Estimate shall be resolved through mediation in Kyoto, Japan, in accordance with the rules of the Kyoto Arbitration Center, before any litigation is pursued.</w:t>
      </w:r>
    </w:p>
    <w:p>
      <w:pPr>
        <w:numPr>
          <w:ilvl w:val="0"/>
          <w:numId w:val="1001"/>
        </w:numPr>
        <w:pStyle w:val="Compact"/>
      </w:pPr>
      <w:r>
        <w:t xml:space="preserve">This Quotation Estimate does not constitute a binding contract until countersigned by both parties. The Education Administrator's employment terms shall be governed by a separate employment agreement in compliance with Japanese labor standards.</w:t>
      </w:r>
    </w:p>
    <w:p>
      <w:pPr>
        <w:pStyle w:val="FirstParagraph"/>
      </w:pPr>
      <w:r>
        <w:rPr>
          <w:bCs/>
          <w:b/>
        </w:rPr>
        <w:t xml:space="preserve">Note:</w:t>
      </w:r>
      <w:r>
        <w:t xml:space="preserve"> </w:t>
      </w:r>
      <w:r>
        <w:t xml:space="preserve">This Quotation Estimate is specifically tailored for the Japan Kyoto education sector. All administrative procedures, regulatory references, and logistical arrangements are designed to align with the unique governance structure of Kyoto's municipal and prefectural education boards. The Education Administrator will operate within the framework of Kyoto's long-standing tradition of academic excellence and its contemporary international education initiatives.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 Quotation Estimate for the Education Administrator services in Japan Kyoto as outlined above. The undersigned authorizes Kyoto International Education Consulting Co., Ltd. to proceed with the recruitment, placement, and support of the Education Administrator in accordance with the terms specified herein.</w:t>
      </w:r>
    </w:p>
    <w:p>
      <w:pPr>
        <w:pStyle w:val="BodyText"/>
      </w:pPr>
      <w:r>
        <w:t xml:space="preserve">Client Representative</w:t>
      </w:r>
      <w:r>
        <w:br/>
      </w:r>
      <w:r>
        <w:t xml:space="preserve">Kyoto Municipal Education Board</w:t>
      </w:r>
      <w:r>
        <w:br/>
      </w:r>
      <w:r>
        <w:t xml:space="preserve">Name / Title / Date</w:t>
      </w:r>
    </w:p>
    <w:p>
      <w:pPr>
        <w:pStyle w:val="BodyText"/>
      </w:pPr>
      <w:r>
        <w:t xml:space="preserve">Authorized Signatory</w:t>
      </w:r>
      <w:r>
        <w:br/>
      </w:r>
      <w:r>
        <w:t xml:space="preserve">Kyoto International Education Consulting Co., Ltd.</w:t>
      </w:r>
      <w:r>
        <w:br/>
      </w:r>
      <w:r>
        <w:t xml:space="preserve">Name / Title / Date</w:t>
      </w:r>
    </w:p>
    <w:p>
      <w:pPr>
        <w:pStyle w:val="BodyText"/>
      </w:pPr>
      <w:r>
        <w:t xml:space="preserve">Quotation Estimate KYO-EDU-2025-0472 | Education Administrator | Japan Kyoto | Page 1 of 1</w:t>
      </w:r>
      <w:r>
        <w:br/>
      </w:r>
      <w:r>
        <w:t xml:space="preserve">Kyoto International Education Consulting Co., Ltd. | 1-2-3 Higashiyama-ku, Kyoto 605-0000, Japan</w:t>
      </w:r>
      <w:r>
        <w:br/>
      </w:r>
      <w:r>
        <w:t xml:space="preserve">Tel: +81-75-XXX-XXXX | Email: inquiries@kyoto-edu-consulting.jp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Japan Kyoto</dc:title>
  <dc:creator/>
  <dc:language>en</dc:language>
  <cp:keywords/>
  <dcterms:created xsi:type="dcterms:W3CDTF">2026-10-10T05:49:25Z</dcterms:created>
  <dcterms:modified xsi:type="dcterms:W3CDTF">2026-10-10T05:49:25Z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