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Services for Education Administrator Position</w:t>
      </w:r>
    </w:p>
    <w:p>
      <w:pPr>
        <w:pStyle w:val="BodyText"/>
      </w:pPr>
      <w:r>
        <w:t xml:space="preserve">Prepared for the Mexico Mexico City Region</w:t>
      </w:r>
    </w:p>
    <w:bookmarkEnd w:id="20"/>
    <w:p>
      <w:pPr>
        <w:pStyle w:val="BodyText"/>
      </w:pPr>
      <w:r>
        <w:rPr>
          <w:bCs/>
          <w:b/>
        </w:rPr>
        <w:t xml:space="preserve">Quotation No.:</w:t>
      </w:r>
      <w:r>
        <w:t xml:space="preserve"> </w:t>
      </w:r>
      <w:r>
        <w:t xml:space="preserve">QTE-MX-2025-04782</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EduPro Talent Solutions S.A. de C.V.</w:t>
      </w:r>
    </w:p>
    <w:p>
      <w:pPr>
        <w:pStyle w:val="BodyText"/>
      </w:pPr>
      <w:r>
        <w:rPr>
          <w:bCs/>
          <w:b/>
        </w:rPr>
        <w:t xml:space="preserve">Location:</w:t>
      </w:r>
      <w:r>
        <w:t xml:space="preserve"> </w:t>
      </w:r>
      <w:r>
        <w:t xml:space="preserve">Mexico Mexico City</w:t>
      </w:r>
    </w:p>
    <w:p>
      <w:pPr>
        <w:pStyle w:val="BodyText"/>
      </w:pPr>
      <w:r>
        <w:rPr>
          <w:bCs/>
          <w:b/>
        </w:rPr>
        <w:t xml:space="preserve">Reference:</w:t>
      </w:r>
      <w:r>
        <w:t xml:space="preserve"> </w:t>
      </w:r>
      <w:r>
        <w:t xml:space="preserve">EA-MMC-2025</w:t>
      </w:r>
    </w:p>
    <w:p>
      <w:pPr>
        <w:pStyle w:val="BodyText"/>
      </w:pPr>
      <w:r>
        <w:t xml:space="preserve">1. Client Information</w:t>
      </w:r>
    </w:p>
    <w:p>
      <w:pPr>
        <w:pStyle w:val="BodyText"/>
      </w:pPr>
      <w:r>
        <w:rPr>
          <w:bCs/>
          <w:b/>
        </w:rPr>
        <w:t xml:space="preserve">Client Name:</w:t>
      </w:r>
      <w:r>
        <w:t xml:space="preserve"> </w:t>
      </w:r>
      <w:r>
        <w:t xml:space="preserve">Instituto Educativo del Valle, S.A. de C.V.</w:t>
      </w:r>
    </w:p>
    <w:p>
      <w:pPr>
        <w:pStyle w:val="BodyText"/>
      </w:pPr>
      <w:r>
        <w:rPr>
          <w:bCs/>
          <w:b/>
        </w:rPr>
        <w:t xml:space="preserve">Address:</w:t>
      </w:r>
      <w:r>
        <w:t xml:space="preserve"> </w:t>
      </w:r>
      <w:r>
        <w:t xml:space="preserve">Av. Insurgentes Sur 1250, Col. Del Valle, Benito Juárez, 03100, Mexico Mexico City, Mexico</w:t>
      </w:r>
    </w:p>
    <w:p>
      <w:pPr>
        <w:pStyle w:val="BodyText"/>
      </w:pPr>
      <w:r>
        <w:rPr>
          <w:bCs/>
          <w:b/>
        </w:rPr>
        <w:t xml:space="preserve">Contact Person:</w:t>
      </w:r>
      <w:r>
        <w:t xml:space="preserve"> </w:t>
      </w:r>
      <w:r>
        <w:t xml:space="preserve">Lic. María Fernanda Gutiérrez, Director of Operations</w:t>
      </w:r>
    </w:p>
    <w:p>
      <w:pPr>
        <w:pStyle w:val="BodyText"/>
      </w:pPr>
      <w:r>
        <w:rPr>
          <w:bCs/>
          <w:b/>
        </w:rPr>
        <w:t xml:space="preserve">Email:</w:t>
      </w:r>
      <w:r>
        <w:t xml:space="preserve"> </w:t>
      </w:r>
      <w:r>
        <w:t xml:space="preserve">mfgutierrez@institutovalle.edu.mx</w:t>
      </w:r>
    </w:p>
    <w:p>
      <w:pPr>
        <w:pStyle w:val="BodyText"/>
      </w:pPr>
      <w:r>
        <w:rPr>
          <w:bCs/>
          <w:b/>
        </w:rPr>
        <w:t xml:space="preserve">Phone:</w:t>
      </w:r>
      <w:r>
        <w:t xml:space="preserve"> </w:t>
      </w:r>
      <w:r>
        <w:t xml:space="preserve">+52 (55) 5512-3456</w:t>
      </w:r>
    </w:p>
    <w:p>
      <w:pPr>
        <w:pStyle w:val="BodyText"/>
      </w:pPr>
      <w:r>
        <w:rPr>
          <w:bCs/>
          <w:b/>
        </w:rPr>
        <w:t xml:space="preserve">RFC:</w:t>
      </w:r>
      <w:r>
        <w:t xml:space="preserve"> </w:t>
      </w:r>
      <w:r>
        <w:t xml:space="preserve">IEV120315AB1</w:t>
      </w:r>
    </w:p>
    <w:p>
      <w:pPr>
        <w:pStyle w:val="BodyText"/>
      </w:pPr>
      <w:r>
        <w:t xml:space="preserve">2. Purpose of This Quotation Estimate</w:t>
      </w:r>
    </w:p>
    <w:p>
      <w:pPr>
        <w:pStyle w:val="BodyText"/>
      </w:pPr>
      <w:r>
        <w:t xml:space="preserve">This</w:t>
      </w:r>
      <w:r>
        <w:t xml:space="preserve"> </w:t>
      </w:r>
      <w:r>
        <w:t xml:space="preserve">Quotation Estimate</w:t>
      </w:r>
      <w:r>
        <w:t xml:space="preserve"> </w:t>
      </w:r>
      <w:r>
        <w:t xml:space="preserve">is formally issued by EduPro Talent Solutions S.A. de C.V. to provide a comprehensive financial and operational proposal for the recruitment, onboarding, and ongoing professional management of an</w:t>
      </w:r>
      <w:r>
        <w:t xml:space="preserve"> </w:t>
      </w:r>
      <w:r>
        <w:t xml:space="preserve">Education Administrator</w:t>
      </w:r>
      <w:r>
        <w:t xml:space="preserve"> </w:t>
      </w:r>
      <w:r>
        <w:t xml:space="preserve">position. This document is specifically tailored to the regulatory, cultural, and operational environment of</w:t>
      </w:r>
      <w:r>
        <w:t xml:space="preserve"> </w:t>
      </w:r>
      <w:r>
        <w:t xml:space="preserve">Mexico Mexico City</w:t>
      </w:r>
      <w:r>
        <w:t xml:space="preserve">, ensuring full compliance with local labor laws (Ley Federal del Trabajo), tax obligations (SAT), and educational sector standards established by the Secretaría de Educación Pública (SEP).</w:t>
      </w:r>
    </w:p>
    <w:p>
      <w:pPr>
        <w:pStyle w:val="BodyText"/>
      </w:pPr>
      <w:r>
        <w:t xml:space="preserve">The</w:t>
      </w:r>
      <w:r>
        <w:t xml:space="preserve"> </w:t>
      </w:r>
      <w:r>
        <w:t xml:space="preserve">Education Administrator</w:t>
      </w:r>
      <w:r>
        <w:t xml:space="preserve"> </w:t>
      </w:r>
      <w:r>
        <w:t xml:space="preserve">role described herein encompasses the strategic oversight of academic programs, faculty coordination, curriculum development, student enrollment management, budget allocation, and institutional compliance within a K-12 or higher education institution operating in the Mexico Mexico City metropolitan area.</w:t>
      </w:r>
    </w:p>
    <w:p>
      <w:pPr>
        <w:pStyle w:val="BodyText"/>
      </w:pPr>
      <w:r>
        <w:t xml:space="preserve">3. Scope of Services</w:t>
      </w:r>
    </w:p>
    <w:p>
      <w:pPr>
        <w:pStyle w:val="BodyText"/>
      </w:pPr>
      <w:r>
        <w:t xml:space="preserve">The following services are included in this</w:t>
      </w:r>
      <w:r>
        <w:t xml:space="preserve"> </w:t>
      </w:r>
      <w:r>
        <w:t xml:space="preserve">Quotation Estimate</w:t>
      </w:r>
      <w:r>
        <w:t xml:space="preserve"> </w:t>
      </w:r>
      <w:r>
        <w:t xml:space="preserve">for the</w:t>
      </w:r>
      <w:r>
        <w:t xml:space="preserve"> </w:t>
      </w:r>
      <w:r>
        <w:t xml:space="preserve">Education Administrator</w:t>
      </w:r>
      <w:r>
        <w:t xml:space="preserve"> </w:t>
      </w:r>
      <w:r>
        <w:t xml:space="preserve">engagement in</w:t>
      </w:r>
      <w:r>
        <w:t xml:space="preserve"> </w:t>
      </w:r>
      <w:r>
        <w:t xml:space="preserve">Mexico Mexico City</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Recruitment &amp; Sourcing</w:t>
            </w:r>
          </w:p>
        </w:tc>
        <w:tc>
          <w:tcPr/>
          <w:p>
            <w:pPr>
              <w:pStyle w:val="Compact"/>
              <w:jc w:val="left"/>
            </w:pPr>
            <w:r>
              <w:t xml:space="preserve">Identification, screening, and selection of qualified Education Administrator candidates with experience in Mexican educational institutions located in Mexico Mexico City and surrounding areas.</w:t>
            </w:r>
          </w:p>
        </w:tc>
        <w:tc>
          <w:tcPr/>
          <w:p>
            <w:pPr>
              <w:pStyle w:val="Compact"/>
              <w:jc w:val="left"/>
            </w:pPr>
            <w:r>
              <w:t xml:space="preserve">4–6 weeks</w:t>
            </w:r>
          </w:p>
        </w:tc>
      </w:tr>
      <w:tr>
        <w:tc>
          <w:tcPr/>
          <w:p>
            <w:pPr>
              <w:pStyle w:val="Compact"/>
              <w:jc w:val="left"/>
            </w:pPr>
            <w:r>
              <w:t xml:space="preserve">Onboarding &amp; Integration</w:t>
            </w:r>
          </w:p>
        </w:tc>
        <w:tc>
          <w:tcPr/>
          <w:p>
            <w:pPr>
              <w:pStyle w:val="Compact"/>
              <w:jc w:val="left"/>
            </w:pPr>
            <w:r>
              <w:t xml:space="preserve">Full onboarding process including labor contract execution compliant with Mexican labor law, IMSS registration, SAT tax setup, and institutional orientation specific to the Mexico Mexico City educational framework.</w:t>
            </w:r>
          </w:p>
        </w:tc>
        <w:tc>
          <w:tcPr/>
          <w:p>
            <w:pPr>
              <w:pStyle w:val="Compact"/>
              <w:jc w:val="left"/>
            </w:pPr>
            <w:r>
              <w:t xml:space="preserve">2 weeks</w:t>
            </w:r>
          </w:p>
        </w:tc>
      </w:tr>
      <w:tr>
        <w:tc>
          <w:tcPr/>
          <w:p>
            <w:pPr>
              <w:pStyle w:val="Compact"/>
              <w:jc w:val="left"/>
            </w:pPr>
            <w:r>
              <w:t xml:space="preserve">Academic Program Oversight</w:t>
            </w:r>
          </w:p>
        </w:tc>
        <w:tc>
          <w:tcPr/>
          <w:p>
            <w:pPr>
              <w:pStyle w:val="Compact"/>
              <w:jc w:val="left"/>
            </w:pPr>
            <w:r>
              <w:t xml:space="preserve">Management of curriculum alignment with SEP standards, faculty scheduling, academic calendar planning, and quality assurance protocols for the Education Administrator role.</w:t>
            </w:r>
          </w:p>
        </w:tc>
        <w:tc>
          <w:tcPr/>
          <w:p>
            <w:pPr>
              <w:pStyle w:val="Compact"/>
              <w:jc w:val="left"/>
            </w:pPr>
            <w:r>
              <w:t xml:space="preserve">Ongoing (12 months)</w:t>
            </w:r>
          </w:p>
        </w:tc>
      </w:tr>
      <w:tr>
        <w:tc>
          <w:tcPr/>
          <w:p>
            <w:pPr>
              <w:pStyle w:val="Compact"/>
              <w:jc w:val="left"/>
            </w:pPr>
            <w:r>
              <w:t xml:space="preserve">Administrative &amp; Financial Management</w:t>
            </w:r>
          </w:p>
        </w:tc>
        <w:tc>
          <w:tcPr/>
          <w:p>
            <w:pPr>
              <w:pStyle w:val="Compact"/>
              <w:jc w:val="left"/>
            </w:pPr>
            <w:r>
              <w:t xml:space="preserve">Budget planning, tuition fee collection oversight, vendor management, and financial reporting in accordance with Mexican accounting standards (NIF) for the Education Administrator position.</w:t>
            </w:r>
          </w:p>
        </w:tc>
        <w:tc>
          <w:tcPr/>
          <w:p>
            <w:pPr>
              <w:pStyle w:val="Compact"/>
              <w:jc w:val="left"/>
            </w:pPr>
            <w:r>
              <w:t xml:space="preserve">Ongoing (12 months)</w:t>
            </w:r>
          </w:p>
        </w:tc>
      </w:tr>
      <w:tr>
        <w:tc>
          <w:tcPr/>
          <w:p>
            <w:pPr>
              <w:pStyle w:val="Compact"/>
              <w:jc w:val="left"/>
            </w:pPr>
            <w:r>
              <w:t xml:space="preserve">Compliance &amp; Regulatory Support</w:t>
            </w:r>
          </w:p>
        </w:tc>
        <w:tc>
          <w:tcPr/>
          <w:p>
            <w:pPr>
              <w:pStyle w:val="Compact"/>
              <w:jc w:val="left"/>
            </w:pPr>
            <w:r>
              <w:t xml:space="preserve">Ensuring the Education Administrator maintains institutional compliance with SEP regulations, data protection laws (LFPDPPP), and local Mexico Mexico City municipal ordinances.</w:t>
            </w:r>
          </w:p>
        </w:tc>
        <w:tc>
          <w:tcPr/>
          <w:p>
            <w:pPr>
              <w:pStyle w:val="Compact"/>
              <w:jc w:val="left"/>
            </w:pPr>
            <w:r>
              <w:t xml:space="preserve">Ongoing (12 months)</w:t>
            </w:r>
          </w:p>
        </w:tc>
      </w:tr>
      <w:tr>
        <w:tc>
          <w:tcPr/>
          <w:p>
            <w:pPr>
              <w:pStyle w:val="Compact"/>
              <w:jc w:val="left"/>
            </w:pPr>
            <w:r>
              <w:t xml:space="preserve">Performance Evaluation</w:t>
            </w:r>
          </w:p>
        </w:tc>
        <w:tc>
          <w:tcPr/>
          <w:p>
            <w:pPr>
              <w:pStyle w:val="Compact"/>
              <w:jc w:val="left"/>
            </w:pPr>
            <w:r>
              <w:t xml:space="preserve">Quarterly performance reviews, KPI tracking, and professional development planning for the Education Administrator in alignment with institutional goals.</w:t>
            </w:r>
          </w:p>
        </w:tc>
        <w:tc>
          <w:tcPr/>
          <w:p>
            <w:pPr>
              <w:pStyle w:val="Compact"/>
              <w:jc w:val="left"/>
            </w:pPr>
            <w:r>
              <w:t xml:space="preserve">Quarterly</w:t>
            </w:r>
          </w:p>
        </w:tc>
      </w:tr>
    </w:tbl>
    <w:p>
      <w:pPr>
        <w:pStyle w:val="BodyText"/>
      </w:pPr>
      <w:r>
        <w:t xml:space="preserve">4. Financial Breakdown – Quotation Estimate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Unit Cost (MXN)</w:t>
            </w:r>
          </w:p>
        </w:tc>
        <w:tc>
          <w:tcPr/>
          <w:p>
            <w:pPr>
              <w:pStyle w:val="Compact"/>
              <w:jc w:val="left"/>
            </w:pPr>
            <w:r>
              <w:t xml:space="preserve">Quantity</w:t>
            </w:r>
          </w:p>
        </w:tc>
        <w:tc>
          <w:tcPr/>
          <w:p>
            <w:pPr>
              <w:pStyle w:val="Compact"/>
              <w:jc w:val="left"/>
            </w:pPr>
            <w:r>
              <w:t xml:space="preserve">Subtotal (MXN)</w:t>
            </w:r>
          </w:p>
        </w:tc>
      </w:tr>
      <w:tr>
        <w:tc>
          <w:tcPr/>
          <w:p>
            <w:pPr>
              <w:pStyle w:val="Compact"/>
              <w:jc w:val="left"/>
            </w:pPr>
            <w:r>
              <w:t xml:space="preserve">Recruitment &amp; Sourcing Fee (one-time)</w:t>
            </w:r>
          </w:p>
        </w:tc>
        <w:tc>
          <w:tcPr/>
          <w:p>
            <w:pPr>
              <w:pStyle w:val="Compact"/>
              <w:jc w:val="left"/>
            </w:pPr>
            <w:r>
              <w:t xml:space="preserve">85,000.00</w:t>
            </w:r>
          </w:p>
        </w:tc>
        <w:tc>
          <w:tcPr/>
          <w:p>
            <w:pPr>
              <w:pStyle w:val="Compact"/>
              <w:jc w:val="left"/>
            </w:pPr>
            <w:r>
              <w:t xml:space="preserve">1</w:t>
            </w:r>
          </w:p>
        </w:tc>
        <w:tc>
          <w:tcPr/>
          <w:p>
            <w:pPr>
              <w:pStyle w:val="Compact"/>
              <w:jc w:val="left"/>
            </w:pPr>
            <w:r>
              <w:t xml:space="preserve">85,000.00</w:t>
            </w:r>
          </w:p>
        </w:tc>
      </w:tr>
      <w:tr>
        <w:tc>
          <w:tcPr/>
          <w:p>
            <w:pPr>
              <w:pStyle w:val="Compact"/>
              <w:jc w:val="left"/>
            </w:pPr>
            <w:r>
              <w:t xml:space="preserve">Onboarding &amp; Legal Setup (one-time)</w:t>
            </w:r>
          </w:p>
        </w:tc>
        <w:tc>
          <w:tcPr/>
          <w:p>
            <w:pPr>
              <w:pStyle w:val="Compact"/>
              <w:jc w:val="left"/>
            </w:pPr>
            <w:r>
              <w:t xml:space="preserve">42,500.00</w:t>
            </w:r>
          </w:p>
        </w:tc>
        <w:tc>
          <w:tcPr/>
          <w:p>
            <w:pPr>
              <w:pStyle w:val="Compact"/>
              <w:jc w:val="left"/>
            </w:pPr>
            <w:r>
              <w:t xml:space="preserve">1</w:t>
            </w:r>
          </w:p>
        </w:tc>
        <w:tc>
          <w:tcPr/>
          <w:p>
            <w:pPr>
              <w:pStyle w:val="Compact"/>
              <w:jc w:val="left"/>
            </w:pPr>
            <w:r>
              <w:t xml:space="preserve">42,500.00</w:t>
            </w:r>
          </w:p>
        </w:tc>
      </w:tr>
      <w:tr>
        <w:tc>
          <w:tcPr/>
          <w:p>
            <w:pPr>
              <w:pStyle w:val="Compact"/>
              <w:jc w:val="left"/>
            </w:pPr>
            <w:r>
              <w:t xml:space="preserve">Education Administrator Monthly Salary (gross)</w:t>
            </w:r>
          </w:p>
        </w:tc>
        <w:tc>
          <w:tcPr/>
          <w:p>
            <w:pPr>
              <w:pStyle w:val="Compact"/>
              <w:jc w:val="left"/>
            </w:pPr>
            <w:r>
              <w:t xml:space="preserve">68,000.00</w:t>
            </w:r>
          </w:p>
        </w:tc>
        <w:tc>
          <w:tcPr/>
          <w:p>
            <w:pPr>
              <w:pStyle w:val="Compact"/>
              <w:jc w:val="left"/>
            </w:pPr>
            <w:r>
              <w:t xml:space="preserve">12</w:t>
            </w:r>
          </w:p>
        </w:tc>
        <w:tc>
          <w:tcPr/>
          <w:p>
            <w:pPr>
              <w:pStyle w:val="Compact"/>
              <w:jc w:val="left"/>
            </w:pPr>
            <w:r>
              <w:t xml:space="preserve">816,000.00</w:t>
            </w:r>
          </w:p>
        </w:tc>
      </w:tr>
      <w:tr>
        <w:tc>
          <w:tcPr/>
          <w:p>
            <w:pPr>
              <w:pStyle w:val="Compact"/>
              <w:jc w:val="left"/>
            </w:pPr>
            <w:r>
              <w:t xml:space="preserve">IMSS Employer Contributions (approx. 25%)</w:t>
            </w:r>
          </w:p>
        </w:tc>
        <w:tc>
          <w:tcPr/>
          <w:p>
            <w:pPr>
              <w:pStyle w:val="Compact"/>
              <w:jc w:val="left"/>
            </w:pPr>
            <w:r>
              <w:t xml:space="preserve">17,000.00</w:t>
            </w:r>
          </w:p>
        </w:tc>
        <w:tc>
          <w:tcPr/>
          <w:p>
            <w:pPr>
              <w:pStyle w:val="Compact"/>
              <w:jc w:val="left"/>
            </w:pPr>
            <w:r>
              <w:t xml:space="preserve">12</w:t>
            </w:r>
          </w:p>
        </w:tc>
        <w:tc>
          <w:tcPr/>
          <w:p>
            <w:pPr>
              <w:pStyle w:val="Compact"/>
              <w:jc w:val="left"/>
            </w:pPr>
            <w:r>
              <w:t xml:space="preserve">204,000.00</w:t>
            </w:r>
          </w:p>
        </w:tc>
      </w:tr>
      <w:tr>
        <w:tc>
          <w:tcPr/>
          <w:p>
            <w:pPr>
              <w:pStyle w:val="Compact"/>
              <w:jc w:val="left"/>
            </w:pPr>
            <w:r>
              <w:t xml:space="preserve">Administrative &amp; Compliance Management Fee</w:t>
            </w:r>
          </w:p>
        </w:tc>
        <w:tc>
          <w:tcPr/>
          <w:p>
            <w:pPr>
              <w:pStyle w:val="Compact"/>
              <w:jc w:val="left"/>
            </w:pPr>
            <w:r>
              <w:t xml:space="preserve">28,000.00</w:t>
            </w:r>
          </w:p>
        </w:tc>
        <w:tc>
          <w:tcPr/>
          <w:p>
            <w:pPr>
              <w:pStyle w:val="Compact"/>
              <w:jc w:val="left"/>
            </w:pPr>
            <w:r>
              <w:t xml:space="preserve">12</w:t>
            </w:r>
          </w:p>
        </w:tc>
        <w:tc>
          <w:tcPr/>
          <w:p>
            <w:pPr>
              <w:pStyle w:val="Compact"/>
              <w:jc w:val="left"/>
            </w:pPr>
            <w:r>
              <w:t xml:space="preserve">336,000.00</w:t>
            </w:r>
          </w:p>
        </w:tc>
      </w:tr>
      <w:tr>
        <w:tc>
          <w:tcPr/>
          <w:p>
            <w:pPr>
              <w:pStyle w:val="Compact"/>
              <w:jc w:val="left"/>
            </w:pPr>
            <w:r>
              <w:t xml:space="preserve">Performance Evaluation &amp; Development Program</w:t>
            </w:r>
          </w:p>
        </w:tc>
        <w:tc>
          <w:tcPr/>
          <w:p>
            <w:pPr>
              <w:pStyle w:val="Compact"/>
              <w:jc w:val="left"/>
            </w:pPr>
            <w:r>
              <w:t xml:space="preserve">12,000.00</w:t>
            </w:r>
          </w:p>
        </w:tc>
        <w:tc>
          <w:tcPr/>
          <w:p>
            <w:pPr>
              <w:pStyle w:val="Compact"/>
              <w:jc w:val="left"/>
            </w:pPr>
            <w:r>
              <w:t xml:space="preserve">4</w:t>
            </w:r>
          </w:p>
        </w:tc>
        <w:tc>
          <w:tcPr/>
          <w:p>
            <w:pPr>
              <w:pStyle w:val="Compact"/>
              <w:jc w:val="left"/>
            </w:pPr>
            <w:r>
              <w:t xml:space="preserve">48,000.00</w:t>
            </w:r>
          </w:p>
        </w:tc>
      </w:tr>
      <w:tr>
        <w:tc>
          <w:tcPr/>
          <w:p>
            <w:pPr>
              <w:pStyle w:val="Compact"/>
              <w:jc w:val="left"/>
            </w:pPr>
            <w:r>
              <w:t xml:space="preserve">Agua de Agradecimiento (13th month bonus)</w:t>
            </w:r>
          </w:p>
        </w:tc>
        <w:tc>
          <w:tcPr/>
          <w:p>
            <w:pPr>
              <w:pStyle w:val="Compact"/>
              <w:jc w:val="left"/>
            </w:pPr>
            <w:r>
              <w:t xml:space="preserve">68,000.00</w:t>
            </w:r>
          </w:p>
        </w:tc>
        <w:tc>
          <w:tcPr/>
          <w:p>
            <w:pPr>
              <w:pStyle w:val="Compact"/>
              <w:jc w:val="left"/>
            </w:pPr>
            <w:r>
              <w:t xml:space="preserve">1</w:t>
            </w:r>
          </w:p>
        </w:tc>
        <w:tc>
          <w:tcPr/>
          <w:p>
            <w:pPr>
              <w:pStyle w:val="Compact"/>
              <w:jc w:val="left"/>
            </w:pPr>
            <w:r>
              <w:t xml:space="preserve">68,000.00</w:t>
            </w:r>
          </w:p>
        </w:tc>
      </w:tr>
      <w:tr>
        <w:tc>
          <w:tcPr/>
          <w:p>
            <w:pPr>
              <w:pStyle w:val="Compact"/>
              <w:jc w:val="left"/>
            </w:pPr>
            <w:r>
              <w:t xml:space="preserve">Prima Vacacional (vacation premium, 25%)</w:t>
            </w:r>
          </w:p>
        </w:tc>
        <w:tc>
          <w:tcPr/>
          <w:p>
            <w:pPr>
              <w:pStyle w:val="Compact"/>
              <w:jc w:val="left"/>
            </w:pPr>
            <w:r>
              <w:t xml:space="preserve">17,000.00</w:t>
            </w:r>
          </w:p>
        </w:tc>
        <w:tc>
          <w:tcPr/>
          <w:p>
            <w:pPr>
              <w:pStyle w:val="Compact"/>
              <w:jc w:val="left"/>
            </w:pPr>
            <w:r>
              <w:t xml:space="preserve">1</w:t>
            </w:r>
          </w:p>
        </w:tc>
        <w:tc>
          <w:tcPr/>
          <w:p>
            <w:pPr>
              <w:pStyle w:val="Compact"/>
              <w:jc w:val="left"/>
            </w:pPr>
            <w:r>
              <w:t xml:space="preserve">17,000.00</w:t>
            </w:r>
          </w:p>
        </w:tc>
      </w:tr>
      <w:tr>
        <w:tc>
          <w:tcPr>
            <w:gridSpan w:val="3"/>
          </w:tcPr>
          <w:p>
            <w:pPr>
              <w:pStyle w:val="Compact"/>
              <w:jc w:val="left"/>
            </w:pPr>
            <w:r>
              <w:t xml:space="preserve">TOTAL ESTIMATED COST (MXN)</w:t>
            </w:r>
          </w:p>
        </w:tc>
        <w:tc>
          <w:tcPr/>
          <w:p>
            <w:pPr>
              <w:pStyle w:val="Compact"/>
              <w:jc w:val="left"/>
            </w:pPr>
            <w:r>
              <w:t xml:space="preserve">1,616,500.00</w:t>
            </w:r>
          </w:p>
        </w:tc>
      </w:tr>
      <w:tr>
        <w:tc>
          <w:tcPr>
            <w:gridSpan w:val="3"/>
          </w:tcPr>
          <w:p>
            <w:pPr>
              <w:pStyle w:val="Compact"/>
              <w:jc w:val="left"/>
            </w:pPr>
            <w:r>
              <w:t xml:space="preserve">TOTAL ESTIMATED COST (USD, approx. at 18.50 MXN/USD)</w:t>
            </w:r>
          </w:p>
        </w:tc>
        <w:tc>
          <w:tcPr/>
          <w:p>
            <w:pPr>
              <w:pStyle w:val="Compact"/>
              <w:jc w:val="left"/>
            </w:pPr>
            <w:r>
              <w:t xml:space="preserve">$87,378.38</w:t>
            </w:r>
          </w:p>
        </w:tc>
      </w:tr>
    </w:tbl>
    <w:p>
      <w:pPr>
        <w:pStyle w:val="BodyText"/>
      </w:pPr>
      <w:r>
        <w:t xml:space="preserve">* All amounts are in Mexican Pesos (MXN) unless otherwise indicated. VAT (IVA 16%) is included in all line items. Exchange rate is an estimate and subject to fluctuation.</w:t>
      </w:r>
    </w:p>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market conditions in</w:t>
      </w:r>
      <w:r>
        <w:t xml:space="preserve"> </w:t>
      </w:r>
      <w:r>
        <w:t xml:space="preserve">Mexico Mexico City</w:t>
      </w:r>
      <w:r>
        <w:t xml:space="preserve">.</w:t>
      </w:r>
    </w:p>
    <w:p>
      <w:pPr>
        <w:numPr>
          <w:ilvl w:val="0"/>
          <w:numId w:val="1001"/>
        </w:numPr>
        <w:pStyle w:val="Compact"/>
      </w:pPr>
      <w:r>
        <w:t xml:space="preserve">The</w:t>
      </w:r>
      <w:r>
        <w:t xml:space="preserve"> </w:t>
      </w:r>
      <w:r>
        <w:t xml:space="preserve">Education Administrator</w:t>
      </w:r>
      <w:r>
        <w:t xml:space="preserve"> </w:t>
      </w:r>
      <w:r>
        <w:t xml:space="preserve">position described in this document is subject to a minimum contract term of twelve (12) months, in accordance with the Ley Federal del Trabajo applicable in Mexico.</w:t>
      </w:r>
    </w:p>
    <w:p>
      <w:pPr>
        <w:numPr>
          <w:ilvl w:val="0"/>
          <w:numId w:val="1001"/>
        </w:numPr>
        <w:pStyle w:val="Compact"/>
      </w:pPr>
      <w:r>
        <w:t xml:space="preserve">Payment terms: 50% upon contract execution and 50% upon successful completion of the onboarding period. Monthly salary and administrative fees shall be paid on the 1st of each month via bank transfer to the account designated by the client in</w:t>
      </w:r>
      <w:r>
        <w:t xml:space="preserve"> </w:t>
      </w:r>
      <w:r>
        <w:t xml:space="preserve">Mexico Mexico City</w:t>
      </w:r>
      <w:r>
        <w:t xml:space="preserve">.</w:t>
      </w:r>
    </w:p>
    <w:p>
      <w:pPr>
        <w:numPr>
          <w:ilvl w:val="0"/>
          <w:numId w:val="1001"/>
        </w:numPr>
        <w:pStyle w:val="Compact"/>
      </w:pPr>
      <w:r>
        <w:t xml:space="preserve">All services rendered under this</w:t>
      </w:r>
      <w:r>
        <w:t xml:space="preserve"> </w:t>
      </w:r>
      <w:r>
        <w:t xml:space="preserve">Quotation Estimate</w:t>
      </w:r>
      <w:r>
        <w:t xml:space="preserve"> </w:t>
      </w:r>
      <w:r>
        <w:t xml:space="preserve">shall comply with the data protection regulations established by the Ley Federal de Protección de Datos Personales en Posesión de los Particulares (LFPDPPP).</w:t>
      </w:r>
    </w:p>
    <w:p>
      <w:pPr>
        <w:numPr>
          <w:ilvl w:val="0"/>
          <w:numId w:val="1001"/>
        </w:numPr>
        <w:pStyle w:val="Compact"/>
      </w:pPr>
      <w:r>
        <w:t xml:space="preserve">The</w:t>
      </w:r>
      <w:r>
        <w:t xml:space="preserve"> </w:t>
      </w:r>
      <w:r>
        <w:t xml:space="preserve">Education Administrator</w:t>
      </w:r>
      <w:r>
        <w:t xml:space="preserve"> </w:t>
      </w:r>
      <w:r>
        <w:t xml:space="preserve">shall be subject to a non-compete clause for a period of six (6) months following the termination of the engagement, limited to the Mexico Mexico City metropolitan area.</w:t>
      </w:r>
    </w:p>
    <w:p>
      <w:pPr>
        <w:numPr>
          <w:ilvl w:val="0"/>
          <w:numId w:val="1001"/>
        </w:numPr>
        <w:pStyle w:val="Compact"/>
      </w:pPr>
      <w:r>
        <w:t xml:space="preserve">Any modifications to the scope of services outlined in this Quotation Estimate must be agreed upon in writing by both parties prior to implementation.</w:t>
      </w:r>
    </w:p>
    <w:p>
      <w:pPr>
        <w:numPr>
          <w:ilvl w:val="0"/>
          <w:numId w:val="1001"/>
        </w:numPr>
        <w:pStyle w:val="Compact"/>
      </w:pPr>
      <w:r>
        <w:t xml:space="preserve">This Quotation Estimate does not constitute a binding employment contract. A separate employment agreement for the Education Administrator will be executed in accordance with Mexican labor legislation.</w:t>
      </w:r>
    </w:p>
    <w:p>
      <w:pPr>
        <w:numPr>
          <w:ilvl w:val="0"/>
          <w:numId w:val="1001"/>
        </w:numPr>
        <w:pStyle w:val="Compact"/>
      </w:pPr>
      <w:r>
        <w:t xml:space="preserve">Disputes arising from this Quotation Estimate shall be resolved through arbitration in Mexico Mexico City, in accordance with the Ley de Arbitraje Mercantil.</w:t>
      </w:r>
    </w:p>
    <w:p>
      <w:pPr>
        <w:pStyle w:val="FirstParagraph"/>
      </w:pPr>
      <w:r>
        <w:t xml:space="preserve">6. Acceptance and Authorization</w:t>
      </w:r>
    </w:p>
    <w:p>
      <w:pPr>
        <w:pStyle w:val="BodyText"/>
      </w:pPr>
      <w:r>
        <w:t xml:space="preserve">By signing below, both parties acknowledge that they have reviewed and accepted the terms, conditions, and financial figures presented in this</w:t>
      </w:r>
      <w:r>
        <w:t xml:space="preserve"> </w:t>
      </w:r>
      <w:r>
        <w:t xml:space="preserve">Quotation Estimate</w:t>
      </w:r>
      <w:r>
        <w:t xml:space="preserve"> </w:t>
      </w:r>
      <w:r>
        <w:t xml:space="preserve">for the</w:t>
      </w:r>
      <w:r>
        <w:t xml:space="preserve"> </w:t>
      </w:r>
      <w:r>
        <w:t xml:space="preserve">Education Administrator</w:t>
      </w:r>
      <w:r>
        <w:t xml:space="preserve"> </w:t>
      </w:r>
      <w:r>
        <w:t xml:space="preserve">position in</w:t>
      </w:r>
      <w:r>
        <w:t xml:space="preserve"> </w:t>
      </w:r>
      <w:r>
        <w:t xml:space="preserve">Mexico Mexico City</w:t>
      </w:r>
      <w:r>
        <w:t xml:space="preserve">.</w:t>
      </w:r>
    </w:p>
    <w:p>
      <w:pPr>
        <w:pStyle w:val="BodyText"/>
      </w:pPr>
      <w:r>
        <w:rPr>
          <w:bCs/>
          <w:b/>
        </w:rPr>
        <w:t xml:space="preserve">For EduPro Talent Solutions S.A. de C.V.</w:t>
      </w:r>
      <w:r>
        <w:br/>
      </w:r>
      <w:r>
        <w:t xml:space="preserve">Name: Ing. Carlos Alberto Ramírez</w:t>
      </w:r>
      <w:r>
        <w:br/>
      </w:r>
      <w:r>
        <w:t xml:space="preserve">Title: General Director</w:t>
      </w:r>
      <w:r>
        <w:br/>
      </w:r>
      <w:r>
        <w:t xml:space="preserve">Date: _______________</w:t>
      </w:r>
    </w:p>
    <w:p>
      <w:pPr>
        <w:pStyle w:val="BodyText"/>
      </w:pPr>
      <w:r>
        <w:rPr>
          <w:bCs/>
          <w:b/>
        </w:rPr>
        <w:t xml:space="preserve">For Instituto Educativo del Valle, S.A. de C.V.</w:t>
      </w:r>
      <w:r>
        <w:br/>
      </w:r>
      <w:r>
        <w:t xml:space="preserve">Name: Lic. María Fernanda Gutiérrez</w:t>
      </w:r>
      <w:r>
        <w:br/>
      </w:r>
      <w:r>
        <w:t xml:space="preserve">Title: Director of Operations</w:t>
      </w:r>
      <w:r>
        <w:br/>
      </w:r>
      <w:r>
        <w:t xml:space="preserve">Date: _______________</w:t>
      </w:r>
    </w:p>
    <w:p>
      <w:pPr>
        <w:pStyle w:val="BodyText"/>
      </w:pPr>
      <w:r>
        <w:t xml:space="preserve">EduPro Talent Solutions S.A. de C.V. | Av. Paseo de la Reforma 225, Piso 14, Col. Cuauhtémoc, 06600, Mexico Mexico City, Mexico</w:t>
      </w:r>
    </w:p>
    <w:p>
      <w:pPr>
        <w:pStyle w:val="BodyText"/>
      </w:pPr>
      <w:r>
        <w:t xml:space="preserve">Tel: +52 (55) 5234-5678 | Email: quotes@eduprotalent.mx | RFC: ETS090512CD3</w:t>
      </w:r>
    </w:p>
    <w:p>
      <w:pPr>
        <w:pStyle w:val="BodyText"/>
      </w:pPr>
      <w:r>
        <w:t xml:space="preserve">This Quotation Estimate was prepared exclusively for the client named herein and may not be reproduced or distributed without prior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Mexico Mexico City</dc:title>
  <dc:creator/>
  <dc:language>en</dc:language>
  <cp:keywords/>
  <dcterms:created xsi:type="dcterms:W3CDTF">2026-10-10T06:23:32Z</dcterms:created>
  <dcterms:modified xsi:type="dcterms:W3CDTF">2026-10-10T06:23:32Z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