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Education</w:t>
      </w:r>
      <w:r>
        <w:t xml:space="preserve"> </w:t>
      </w:r>
      <w:r>
        <w:t xml:space="preserve">Administrator</w:t>
      </w:r>
      <w:r>
        <w:t xml:space="preserve"> </w:t>
      </w:r>
      <w:r>
        <w:t xml:space="preserve">-</w:t>
      </w:r>
      <w:r>
        <w:t xml:space="preserve"> </w:t>
      </w:r>
      <w:r>
        <w:t xml:space="preserve">Morocco</w:t>
      </w:r>
      <w:r>
        <w:t xml:space="preserve"> </w:t>
      </w:r>
      <w:r>
        <w:t xml:space="preserve">Casablanca</w:t>
      </w:r>
    </w:p>
    <w:bookmarkStart w:id="20" w:name="quotation-estimate"/>
    <w:p>
      <w:pPr>
        <w:pStyle w:val="Heading1"/>
      </w:pPr>
      <w:r>
        <w:t xml:space="preserve">Quotation Estimate</w:t>
      </w:r>
    </w:p>
    <w:p>
      <w:pPr>
        <w:pStyle w:val="FirstParagraph"/>
      </w:pPr>
      <w:r>
        <w:t xml:space="preserve">Professional Services for Education Administrator Position</w:t>
      </w:r>
    </w:p>
    <w:p>
      <w:pPr>
        <w:pStyle w:val="BodyText"/>
      </w:pPr>
      <w:r>
        <w:t xml:space="preserve">Prepared for the Casablanca, Morocco Market</w:t>
      </w:r>
    </w:p>
    <w:p>
      <w:pPr>
        <w:pStyle w:val="BodyText"/>
      </w:pPr>
      <w:r>
        <w:t xml:space="preserve">OFFICIAL ESTIMATE DOCUMENT</w:t>
      </w:r>
    </w:p>
    <w:bookmarkEnd w:id="20"/>
    <w:p>
      <w:pPr>
        <w:pStyle w:val="BodyText"/>
      </w:pPr>
      <w:r>
        <w:rPr>
          <w:bCs/>
          <w:b/>
        </w:rPr>
        <w:t xml:space="preserve">Quotation No.:</w:t>
      </w:r>
      <w:r>
        <w:t xml:space="preserve"> </w:t>
      </w:r>
      <w:r>
        <w:t xml:space="preserve">QE-EDU-CAS-2025-0472</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September 2025</w:t>
      </w:r>
    </w:p>
    <w:p>
      <w:pPr>
        <w:pStyle w:val="BodyText"/>
      </w:pPr>
      <w:r>
        <w:rPr>
          <w:bCs/>
          <w:b/>
        </w:rPr>
        <w:t xml:space="preserve">Location:</w:t>
      </w:r>
      <w:r>
        <w:t xml:space="preserve"> </w:t>
      </w:r>
      <w:r>
        <w:t xml:space="preserve">Casablanca, Morocco</w:t>
      </w:r>
    </w:p>
    <w:bookmarkStart w:id="21" w:name="parties-involved"/>
    <w:p>
      <w:pPr>
        <w:pStyle w:val="Heading2"/>
      </w:pPr>
      <w:r>
        <w:t xml:space="preserve">1. Parties Involved</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Role</w:t>
            </w:r>
          </w:p>
        </w:tc>
        <w:tc>
          <w:tcPr/>
          <w:p>
            <w:pPr>
              <w:pStyle w:val="Compact"/>
              <w:jc w:val="left"/>
            </w:pPr>
            <w:r>
              <w:t xml:space="preserve">Entity</w:t>
            </w:r>
          </w:p>
        </w:tc>
        <w:tc>
          <w:tcPr/>
          <w:p>
            <w:pPr>
              <w:pStyle w:val="Compact"/>
              <w:jc w:val="left"/>
            </w:pPr>
            <w:r>
              <w:t xml:space="preserve">Address</w:t>
            </w:r>
          </w:p>
        </w:tc>
        <w:tc>
          <w:tcPr/>
          <w:p>
            <w:pPr>
              <w:pStyle w:val="Compact"/>
              <w:jc w:val="left"/>
            </w:pPr>
            <w:r>
              <w:t xml:space="preserve">Contact</w:t>
            </w:r>
          </w:p>
        </w:tc>
      </w:tr>
      <w:tr>
        <w:tc>
          <w:tcPr/>
          <w:p>
            <w:pPr>
              <w:pStyle w:val="Compact"/>
              <w:jc w:val="left"/>
            </w:pPr>
            <w:r>
              <w:rPr>
                <w:bCs/>
                <w:b/>
              </w:rPr>
              <w:t xml:space="preserve">Provider</w:t>
            </w:r>
          </w:p>
        </w:tc>
        <w:tc>
          <w:tcPr/>
          <w:p>
            <w:pPr>
              <w:pStyle w:val="Compact"/>
              <w:jc w:val="left"/>
            </w:pPr>
            <w:r>
              <w:t xml:space="preserve">Atlas Education Consulting SARL</w:t>
            </w:r>
          </w:p>
        </w:tc>
        <w:tc>
          <w:tcPr/>
          <w:p>
            <w:pPr>
              <w:pStyle w:val="Compact"/>
              <w:jc w:val="left"/>
            </w:pPr>
            <w:r>
              <w:t xml:space="preserve">Tour Atlantique, Boulevard Zerktouni, Casablanca 20250, Morocco</w:t>
            </w:r>
          </w:p>
        </w:tc>
        <w:tc>
          <w:tcPr/>
          <w:p>
            <w:pPr>
              <w:pStyle w:val="Compact"/>
              <w:jc w:val="left"/>
            </w:pPr>
            <w:r>
              <w:t xml:space="preserve">info@atlas-edu.ma | +212 522-44-78-90</w:t>
            </w:r>
          </w:p>
        </w:tc>
      </w:tr>
      <w:tr>
        <w:tc>
          <w:tcPr/>
          <w:p>
            <w:pPr>
              <w:pStyle w:val="Compact"/>
              <w:jc w:val="left"/>
            </w:pPr>
            <w:r>
              <w:rPr>
                <w:bCs/>
                <w:b/>
              </w:rPr>
              <w:t xml:space="preserve">Client</w:t>
            </w:r>
          </w:p>
        </w:tc>
        <w:tc>
          <w:tcPr/>
          <w:p>
            <w:pPr>
              <w:pStyle w:val="Compact"/>
              <w:jc w:val="left"/>
            </w:pPr>
            <w:r>
              <w:t xml:space="preserve">École Internationale de Casablanca</w:t>
            </w:r>
          </w:p>
        </w:tc>
        <w:tc>
          <w:tcPr/>
          <w:p>
            <w:pPr>
              <w:pStyle w:val="Compact"/>
              <w:jc w:val="left"/>
            </w:pPr>
            <w:r>
              <w:t xml:space="preserve">12 Avenue Hassan II, Quartier Gauthier, Casablanca 20000, Morocco</w:t>
            </w:r>
          </w:p>
        </w:tc>
        <w:tc>
          <w:tcPr/>
          <w:p>
            <w:pPr>
              <w:pStyle w:val="Compact"/>
              <w:jc w:val="left"/>
            </w:pPr>
            <w:r>
              <w:t xml:space="preserve">admin@eic-casa.ma | +212 522-33-11-45</w:t>
            </w:r>
          </w:p>
        </w:tc>
      </w:tr>
    </w:tbl>
    <w:bookmarkEnd w:id="21"/>
    <w:bookmarkStart w:id="22" w:name="Xe6b269731e030716c037263561e6fc5ede49829"/>
    <w:p>
      <w:pPr>
        <w:pStyle w:val="Heading2"/>
      </w:pPr>
      <w:r>
        <w:t xml:space="preserve">2. Scope of Services – Education Administrator Role</w:t>
      </w:r>
    </w:p>
    <w:p>
      <w:pPr>
        <w:pStyle w:val="FirstParagraph"/>
      </w:pPr>
      <w:r>
        <w:t xml:space="preserve">This</w:t>
      </w:r>
      <w:r>
        <w:t xml:space="preserve"> </w:t>
      </w:r>
      <w:r>
        <w:t xml:space="preserve">Quotation Estimate</w:t>
      </w:r>
      <w:r>
        <w:t xml:space="preserve"> </w:t>
      </w:r>
      <w:r>
        <w:t xml:space="preserve">outlines the comprehensive professional services required to recruit, onboard, and support a full-time</w:t>
      </w:r>
      <w:r>
        <w:t xml:space="preserve"> </w:t>
      </w:r>
      <w:r>
        <w:t xml:space="preserve">Education Administrator</w:t>
      </w:r>
      <w:r>
        <w:t xml:space="preserve"> </w:t>
      </w:r>
      <w:r>
        <w:t xml:space="preserve">for the client institution located in</w:t>
      </w:r>
      <w:r>
        <w:t xml:space="preserve"> </w:t>
      </w:r>
      <w:r>
        <w:t xml:space="preserve">Morocco Casablanca</w:t>
      </w:r>
      <w:r>
        <w:t xml:space="preserve">. The Education Administrator will be responsible for overseeing all academic and administrative operations of the school, including curriculum coordination, faculty scheduling, student enrollment management, compliance with the Moroccan Ministry of National Education regulations, and day-to-day institutional governance.</w:t>
      </w:r>
    </w:p>
    <w:p>
      <w:pPr>
        <w:pStyle w:val="BodyText"/>
      </w:pPr>
      <w:r>
        <w:t xml:space="preserve">The services described in this Quotation Estimate are tailored specifically to the educational landscape of Morocco Casablanca, taking into account the bilingual (French-Arabic) operational environment, the specific regulatory framework of the Moroccan education sector, and the unique administrative demands of an international school operating in the Greater Casablanca metropolitan area.</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Service Description</w:t>
            </w:r>
          </w:p>
        </w:tc>
        <w:tc>
          <w:tcPr/>
          <w:p>
            <w:pPr>
              <w:pStyle w:val="Compact"/>
              <w:jc w:val="left"/>
            </w:pPr>
            <w:r>
              <w:t xml:space="preserve">Duration</w:t>
            </w:r>
          </w:p>
        </w:tc>
        <w:tc>
          <w:tcPr/>
          <w:p>
            <w:pPr>
              <w:pStyle w:val="Compact"/>
              <w:jc w:val="left"/>
            </w:pPr>
            <w:r>
              <w:t xml:space="preserve">Unit Cost (MAD)</w:t>
            </w:r>
          </w:p>
        </w:tc>
        <w:tc>
          <w:tcPr/>
          <w:p>
            <w:pPr>
              <w:pStyle w:val="Compact"/>
              <w:jc w:val="left"/>
            </w:pPr>
            <w:r>
              <w:t xml:space="preserve">Quantity</w:t>
            </w:r>
          </w:p>
        </w:tc>
        <w:tc>
          <w:tcPr/>
          <w:p>
            <w:pPr>
              <w:pStyle w:val="Compact"/>
              <w:jc w:val="left"/>
            </w:pPr>
            <w:r>
              <w:t xml:space="preserve">Total (MAD)</w:t>
            </w:r>
          </w:p>
        </w:tc>
      </w:tr>
      <w:tr>
        <w:tc>
          <w:tcPr/>
          <w:p>
            <w:pPr>
              <w:pStyle w:val="Compact"/>
              <w:jc w:val="left"/>
            </w:pPr>
            <w:r>
              <w:t xml:space="preserve">01</w:t>
            </w:r>
          </w:p>
        </w:tc>
        <w:tc>
          <w:tcPr/>
          <w:p>
            <w:pPr>
              <w:pStyle w:val="Compact"/>
              <w:jc w:val="left"/>
            </w:pPr>
            <w:r>
              <w:t xml:space="preserve">Recruitment and sourcing of qualified Education Administrator candidate (including job posting, screening, and interviews in Casablanca)</w:t>
            </w:r>
          </w:p>
        </w:tc>
        <w:tc>
          <w:tcPr/>
          <w:p>
            <w:pPr>
              <w:pStyle w:val="Compact"/>
              <w:jc w:val="left"/>
            </w:pPr>
            <w:r>
              <w:t xml:space="preserve">4 weeks</w:t>
            </w:r>
          </w:p>
        </w:tc>
        <w:tc>
          <w:tcPr/>
          <w:p>
            <w:pPr>
              <w:pStyle w:val="Compact"/>
              <w:jc w:val="left"/>
            </w:pPr>
            <w:r>
              <w:t xml:space="preserve">45,000</w:t>
            </w:r>
          </w:p>
        </w:tc>
        <w:tc>
          <w:tcPr/>
          <w:p>
            <w:pPr>
              <w:pStyle w:val="Compact"/>
              <w:jc w:val="left"/>
            </w:pPr>
            <w:r>
              <w:t xml:space="preserve">1</w:t>
            </w:r>
          </w:p>
        </w:tc>
        <w:tc>
          <w:tcPr/>
          <w:p>
            <w:pPr>
              <w:pStyle w:val="Compact"/>
              <w:jc w:val="left"/>
            </w:pPr>
            <w:r>
              <w:t xml:space="preserve">45,000</w:t>
            </w:r>
          </w:p>
        </w:tc>
      </w:tr>
      <w:tr>
        <w:tc>
          <w:tcPr/>
          <w:p>
            <w:pPr>
              <w:pStyle w:val="Compact"/>
              <w:jc w:val="left"/>
            </w:pPr>
            <w:r>
              <w:t xml:space="preserve">02</w:t>
            </w:r>
          </w:p>
        </w:tc>
        <w:tc>
          <w:tcPr/>
          <w:p>
            <w:pPr>
              <w:pStyle w:val="Compact"/>
              <w:jc w:val="left"/>
            </w:pPr>
            <w:r>
              <w:t xml:space="preserve">Legal and administrative onboarding (work permit, CNSS registration, contract drafting compliant with Moroccan labor law)</w:t>
            </w:r>
          </w:p>
        </w:tc>
        <w:tc>
          <w:tcPr/>
          <w:p>
            <w:pPr>
              <w:pStyle w:val="Compact"/>
              <w:jc w:val="left"/>
            </w:pPr>
            <w:r>
              <w:t xml:space="preserve">2 weeks</w:t>
            </w:r>
          </w:p>
        </w:tc>
        <w:tc>
          <w:tcPr/>
          <w:p>
            <w:pPr>
              <w:pStyle w:val="Compact"/>
              <w:jc w:val="left"/>
            </w:pPr>
            <w:r>
              <w:t xml:space="preserve">28,000</w:t>
            </w:r>
          </w:p>
        </w:tc>
        <w:tc>
          <w:tcPr/>
          <w:p>
            <w:pPr>
              <w:pStyle w:val="Compact"/>
              <w:jc w:val="left"/>
            </w:pPr>
            <w:r>
              <w:t xml:space="preserve">1</w:t>
            </w:r>
          </w:p>
        </w:tc>
        <w:tc>
          <w:tcPr/>
          <w:p>
            <w:pPr>
              <w:pStyle w:val="Compact"/>
              <w:jc w:val="left"/>
            </w:pPr>
            <w:r>
              <w:t xml:space="preserve">28,000</w:t>
            </w:r>
          </w:p>
        </w:tc>
      </w:tr>
      <w:tr>
        <w:tc>
          <w:tcPr/>
          <w:p>
            <w:pPr>
              <w:pStyle w:val="Compact"/>
              <w:jc w:val="left"/>
            </w:pPr>
            <w:r>
              <w:t xml:space="preserve">03</w:t>
            </w:r>
          </w:p>
        </w:tc>
        <w:tc>
          <w:tcPr/>
          <w:p>
            <w:pPr>
              <w:pStyle w:val="Compact"/>
              <w:jc w:val="left"/>
            </w:pPr>
            <w:r>
              <w:t xml:space="preserve">Education Administrator monthly salary (including 13th-month bonus provision)</w:t>
            </w:r>
          </w:p>
        </w:tc>
        <w:tc>
          <w:tcPr/>
          <w:p>
            <w:pPr>
              <w:pStyle w:val="Compact"/>
              <w:jc w:val="left"/>
            </w:pPr>
            <w:r>
              <w:t xml:space="preserve">12 months</w:t>
            </w:r>
          </w:p>
        </w:tc>
        <w:tc>
          <w:tcPr/>
          <w:p>
            <w:pPr>
              <w:pStyle w:val="Compact"/>
              <w:jc w:val="left"/>
            </w:pPr>
            <w:r>
              <w:t xml:space="preserve">32,000</w:t>
            </w:r>
          </w:p>
        </w:tc>
        <w:tc>
          <w:tcPr/>
          <w:p>
            <w:pPr>
              <w:pStyle w:val="Compact"/>
              <w:jc w:val="left"/>
            </w:pPr>
            <w:r>
              <w:t xml:space="preserve">12</w:t>
            </w:r>
          </w:p>
        </w:tc>
        <w:tc>
          <w:tcPr/>
          <w:p>
            <w:pPr>
              <w:pStyle w:val="Compact"/>
              <w:jc w:val="left"/>
            </w:pPr>
            <w:r>
              <w:t xml:space="preserve">384,000</w:t>
            </w:r>
          </w:p>
        </w:tc>
      </w:tr>
      <w:tr>
        <w:tc>
          <w:tcPr/>
          <w:p>
            <w:pPr>
              <w:pStyle w:val="Compact"/>
              <w:jc w:val="left"/>
            </w:pPr>
            <w:r>
              <w:t xml:space="preserve">04</w:t>
            </w:r>
          </w:p>
        </w:tc>
        <w:tc>
          <w:tcPr/>
          <w:p>
            <w:pPr>
              <w:pStyle w:val="Compact"/>
              <w:jc w:val="left"/>
            </w:pPr>
            <w:r>
              <w:t xml:space="preserve">Professional development and training program for the Education Administrator (Moroccan education policy, bilingual administration, digital tools)</w:t>
            </w:r>
          </w:p>
        </w:tc>
        <w:tc>
          <w:tcPr/>
          <w:p>
            <w:pPr>
              <w:pStyle w:val="Compact"/>
              <w:jc w:val="left"/>
            </w:pPr>
            <w:r>
              <w:t xml:space="preserve">3 months</w:t>
            </w:r>
          </w:p>
        </w:tc>
        <w:tc>
          <w:tcPr/>
          <w:p>
            <w:pPr>
              <w:pStyle w:val="Compact"/>
              <w:jc w:val="left"/>
            </w:pPr>
            <w:r>
              <w:t xml:space="preserve">18,000</w:t>
            </w:r>
          </w:p>
        </w:tc>
        <w:tc>
          <w:tcPr/>
          <w:p>
            <w:pPr>
              <w:pStyle w:val="Compact"/>
              <w:jc w:val="left"/>
            </w:pPr>
            <w:r>
              <w:t xml:space="preserve">1</w:t>
            </w:r>
          </w:p>
        </w:tc>
        <w:tc>
          <w:tcPr/>
          <w:p>
            <w:pPr>
              <w:pStyle w:val="Compact"/>
              <w:jc w:val="left"/>
            </w:pPr>
            <w:r>
              <w:t xml:space="preserve">18,000</w:t>
            </w:r>
          </w:p>
        </w:tc>
      </w:tr>
      <w:tr>
        <w:tc>
          <w:tcPr/>
          <w:p>
            <w:pPr>
              <w:pStyle w:val="Compact"/>
              <w:jc w:val="left"/>
            </w:pPr>
            <w:r>
              <w:t xml:space="preserve">05</w:t>
            </w:r>
          </w:p>
        </w:tc>
        <w:tc>
          <w:tcPr/>
          <w:p>
            <w:pPr>
              <w:pStyle w:val="Compact"/>
              <w:jc w:val="left"/>
            </w:pPr>
            <w:r>
              <w:t xml:space="preserve">Office setup and IT infrastructure allocation for the Education Administrator workstation in Casablanca</w:t>
            </w:r>
          </w:p>
        </w:tc>
        <w:tc>
          <w:tcPr/>
          <w:p>
            <w:pPr>
              <w:pStyle w:val="Compact"/>
              <w:jc w:val="left"/>
            </w:pPr>
            <w:r>
              <w:t xml:space="preserve">One-time</w:t>
            </w:r>
          </w:p>
        </w:tc>
        <w:tc>
          <w:tcPr/>
          <w:p>
            <w:pPr>
              <w:pStyle w:val="Compact"/>
              <w:jc w:val="left"/>
            </w:pPr>
            <w:r>
              <w:t xml:space="preserve">35,000</w:t>
            </w:r>
          </w:p>
        </w:tc>
        <w:tc>
          <w:tcPr/>
          <w:p>
            <w:pPr>
              <w:pStyle w:val="Compact"/>
              <w:jc w:val="left"/>
            </w:pPr>
            <w:r>
              <w:t xml:space="preserve">1</w:t>
            </w:r>
          </w:p>
        </w:tc>
        <w:tc>
          <w:tcPr/>
          <w:p>
            <w:pPr>
              <w:pStyle w:val="Compact"/>
              <w:jc w:val="left"/>
            </w:pPr>
            <w:r>
              <w:t xml:space="preserve">35,000</w:t>
            </w:r>
          </w:p>
        </w:tc>
      </w:tr>
      <w:tr>
        <w:tc>
          <w:tcPr/>
          <w:p>
            <w:pPr>
              <w:pStyle w:val="Compact"/>
              <w:jc w:val="left"/>
            </w:pPr>
            <w:r>
              <w:t xml:space="preserve">06</w:t>
            </w:r>
          </w:p>
        </w:tc>
        <w:tc>
          <w:tcPr/>
          <w:p>
            <w:pPr>
              <w:pStyle w:val="Compact"/>
              <w:jc w:val="left"/>
            </w:pPr>
            <w:r>
              <w:t xml:space="preserve">Ongoing HR support and compliance monitoring (quarterly reviews, performance evaluation, regulatory updates from Moroccan education authorities)</w:t>
            </w:r>
          </w:p>
        </w:tc>
        <w:tc>
          <w:tcPr/>
          <w:p>
            <w:pPr>
              <w:pStyle w:val="Compact"/>
              <w:jc w:val="left"/>
            </w:pPr>
            <w:r>
              <w:t xml:space="preserve">12 months</w:t>
            </w:r>
          </w:p>
        </w:tc>
        <w:tc>
          <w:tcPr/>
          <w:p>
            <w:pPr>
              <w:pStyle w:val="Compact"/>
              <w:jc w:val="left"/>
            </w:pPr>
            <w:r>
              <w:t xml:space="preserve">12,000</w:t>
            </w:r>
          </w:p>
        </w:tc>
        <w:tc>
          <w:tcPr/>
          <w:p>
            <w:pPr>
              <w:pStyle w:val="Compact"/>
              <w:jc w:val="left"/>
            </w:pPr>
            <w:r>
              <w:t xml:space="preserve">12</w:t>
            </w:r>
          </w:p>
        </w:tc>
        <w:tc>
          <w:tcPr/>
          <w:p>
            <w:pPr>
              <w:pStyle w:val="Compact"/>
              <w:jc w:val="left"/>
            </w:pPr>
            <w:r>
              <w:t xml:space="preserve">144,000</w:t>
            </w:r>
          </w:p>
        </w:tc>
      </w:tr>
      <w:tr>
        <w:tc>
          <w:tcPr/>
          <w:p>
            <w:pPr>
              <w:pStyle w:val="Compact"/>
              <w:jc w:val="left"/>
            </w:pPr>
            <w:r>
              <w:t xml:space="preserve">07</w:t>
            </w:r>
          </w:p>
        </w:tc>
        <w:tc>
          <w:tcPr/>
          <w:p>
            <w:pPr>
              <w:pStyle w:val="Compact"/>
              <w:jc w:val="left"/>
            </w:pPr>
            <w:r>
              <w:t xml:space="preserve">Relocation and settling allowance (if the Education Administrator is sourced internationally)</w:t>
            </w:r>
          </w:p>
        </w:tc>
        <w:tc>
          <w:tcPr/>
          <w:p>
            <w:pPr>
              <w:pStyle w:val="Compact"/>
              <w:jc w:val="left"/>
            </w:pPr>
            <w:r>
              <w:t xml:space="preserve">One-time</w:t>
            </w:r>
          </w:p>
        </w:tc>
        <w:tc>
          <w:tcPr/>
          <w:p>
            <w:pPr>
              <w:pStyle w:val="Compact"/>
              <w:jc w:val="left"/>
            </w:pPr>
            <w:r>
              <w:t xml:space="preserve">50,000</w:t>
            </w:r>
          </w:p>
        </w:tc>
        <w:tc>
          <w:tcPr/>
          <w:p>
            <w:pPr>
              <w:pStyle w:val="Compact"/>
              <w:jc w:val="left"/>
            </w:pPr>
            <w:r>
              <w:t xml:space="preserve">1</w:t>
            </w:r>
          </w:p>
        </w:tc>
        <w:tc>
          <w:tcPr/>
          <w:p>
            <w:pPr>
              <w:pStyle w:val="Compact"/>
              <w:jc w:val="left"/>
            </w:pPr>
            <w:r>
              <w:t xml:space="preserve">50,000</w:t>
            </w:r>
          </w:p>
        </w:tc>
      </w:tr>
      <w:tr>
        <w:tc>
          <w:tcPr>
            <w:gridSpan w:val="5"/>
          </w:tcPr>
          <w:p>
            <w:pPr>
              <w:pStyle w:val="Compact"/>
              <w:jc w:val="left"/>
            </w:pPr>
            <w:r>
              <w:t xml:space="preserve">TOTAL ESTIMATED COST (MAD)</w:t>
            </w:r>
          </w:p>
        </w:tc>
        <w:tc>
          <w:tcPr/>
          <w:p>
            <w:pPr>
              <w:pStyle w:val="Compact"/>
              <w:jc w:val="left"/>
            </w:pPr>
            <w:r>
              <w:t xml:space="preserve">704,000</w:t>
            </w:r>
          </w:p>
        </w:tc>
      </w:tr>
      <w:tr>
        <w:tc>
          <w:tcPr>
            <w:gridSpan w:val="5"/>
          </w:tcPr>
          <w:p>
            <w:pPr>
              <w:pStyle w:val="Compact"/>
              <w:jc w:val="left"/>
            </w:pPr>
            <w:r>
              <w:t xml:space="preserve">TOTAL ESTIMATED COST (EUR – approximate at 1 EUR = 10.85 MAD)</w:t>
            </w:r>
          </w:p>
        </w:tc>
        <w:tc>
          <w:tcPr/>
          <w:p>
            <w:pPr>
              <w:pStyle w:val="Compact"/>
              <w:jc w:val="left"/>
            </w:pPr>
            <w:r>
              <w:t xml:space="preserve">64,885</w:t>
            </w:r>
          </w:p>
        </w:tc>
      </w:tr>
    </w:tbl>
    <w:bookmarkEnd w:id="23"/>
    <w:bookmarkStart w:id="24" w:name="payment-schedule"/>
    <w:p>
      <w:pPr>
        <w:pStyle w:val="Heading2"/>
      </w:pPr>
      <w:r>
        <w:t xml:space="preserve">4. Payment Schedule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Milestone</w:t>
            </w:r>
          </w:p>
        </w:tc>
        <w:tc>
          <w:tcPr/>
          <w:p>
            <w:pPr>
              <w:pStyle w:val="Compact"/>
              <w:jc w:val="left"/>
            </w:pPr>
            <w:r>
              <w:t xml:space="preserve">Percentage</w:t>
            </w:r>
          </w:p>
        </w:tc>
        <w:tc>
          <w:tcPr/>
          <w:p>
            <w:pPr>
              <w:pStyle w:val="Compact"/>
              <w:jc w:val="left"/>
            </w:pPr>
            <w:r>
              <w:t xml:space="preserve">Amount (MAD)</w:t>
            </w:r>
          </w:p>
        </w:tc>
        <w:tc>
          <w:tcPr/>
          <w:p>
            <w:pPr>
              <w:pStyle w:val="Compact"/>
              <w:jc w:val="left"/>
            </w:pPr>
            <w:r>
              <w:t xml:space="preserve">Due Date</w:t>
            </w:r>
          </w:p>
        </w:tc>
      </w:tr>
      <w:tr>
        <w:tc>
          <w:tcPr/>
          <w:p>
            <w:pPr>
              <w:pStyle w:val="Compact"/>
              <w:jc w:val="left"/>
            </w:pPr>
            <w:r>
              <w:t xml:space="preserve">Contract signing and project initiation</w:t>
            </w:r>
          </w:p>
        </w:tc>
        <w:tc>
          <w:tcPr/>
          <w:p>
            <w:pPr>
              <w:pStyle w:val="Compact"/>
              <w:jc w:val="left"/>
            </w:pPr>
            <w:r>
              <w:t xml:space="preserve">20%</w:t>
            </w:r>
          </w:p>
        </w:tc>
        <w:tc>
          <w:tcPr/>
          <w:p>
            <w:pPr>
              <w:pStyle w:val="Compact"/>
              <w:jc w:val="left"/>
            </w:pPr>
            <w:r>
              <w:t xml:space="preserve">140,800</w:t>
            </w:r>
          </w:p>
        </w:tc>
        <w:tc>
          <w:tcPr/>
          <w:p>
            <w:pPr>
              <w:pStyle w:val="Compact"/>
              <w:jc w:val="left"/>
            </w:pPr>
            <w:r>
              <w:t xml:space="preserve">Upon acceptance of this Quotation Estimate</w:t>
            </w:r>
          </w:p>
        </w:tc>
      </w:tr>
      <w:tr>
        <w:tc>
          <w:tcPr/>
          <w:p>
            <w:pPr>
              <w:pStyle w:val="Compact"/>
              <w:jc w:val="left"/>
            </w:pPr>
            <w:r>
              <w:t xml:space="preserve">Education Administrator candidate confirmed and onboarding complete</w:t>
            </w:r>
          </w:p>
        </w:tc>
        <w:tc>
          <w:tcPr/>
          <w:p>
            <w:pPr>
              <w:pStyle w:val="Compact"/>
              <w:jc w:val="left"/>
            </w:pPr>
            <w:r>
              <w:t xml:space="preserve">30%</w:t>
            </w:r>
          </w:p>
        </w:tc>
        <w:tc>
          <w:tcPr/>
          <w:p>
            <w:pPr>
              <w:pStyle w:val="Compact"/>
              <w:jc w:val="left"/>
            </w:pPr>
            <w:r>
              <w:t xml:space="preserve">211,200</w:t>
            </w:r>
          </w:p>
        </w:tc>
        <w:tc>
          <w:tcPr/>
          <w:p>
            <w:pPr>
              <w:pStyle w:val="Compact"/>
              <w:jc w:val="left"/>
            </w:pPr>
            <w:r>
              <w:t xml:space="preserve">Within 60 days of contract signing</w:t>
            </w:r>
          </w:p>
        </w:tc>
      </w:tr>
      <w:tr>
        <w:tc>
          <w:tcPr/>
          <w:p>
            <w:pPr>
              <w:pStyle w:val="Compact"/>
              <w:jc w:val="left"/>
            </w:pPr>
            <w:r>
              <w:t xml:space="preserve">Mid-term review (Month 6)</w:t>
            </w:r>
          </w:p>
        </w:tc>
        <w:tc>
          <w:tcPr/>
          <w:p>
            <w:pPr>
              <w:pStyle w:val="Compact"/>
              <w:jc w:val="left"/>
            </w:pPr>
            <w:r>
              <w:t xml:space="preserve">25%</w:t>
            </w:r>
          </w:p>
        </w:tc>
        <w:tc>
          <w:tcPr/>
          <w:p>
            <w:pPr>
              <w:pStyle w:val="Compact"/>
              <w:jc w:val="left"/>
            </w:pPr>
            <w:r>
              <w:t xml:space="preserve">176,000</w:t>
            </w:r>
          </w:p>
        </w:tc>
        <w:tc>
          <w:tcPr/>
          <w:p>
            <w:pPr>
              <w:pStyle w:val="Compact"/>
              <w:jc w:val="left"/>
            </w:pPr>
            <w:r>
              <w:t xml:space="preserve">Month 6 of engagement</w:t>
            </w:r>
          </w:p>
        </w:tc>
      </w:tr>
      <w:tr>
        <w:tc>
          <w:tcPr/>
          <w:p>
            <w:pPr>
              <w:pStyle w:val="Compact"/>
              <w:jc w:val="left"/>
            </w:pPr>
            <w:r>
              <w:t xml:space="preserve">Final delivery and project closeout</w:t>
            </w:r>
          </w:p>
        </w:tc>
        <w:tc>
          <w:tcPr/>
          <w:p>
            <w:pPr>
              <w:pStyle w:val="Compact"/>
              <w:jc w:val="left"/>
            </w:pPr>
            <w:r>
              <w:t xml:space="preserve">25%</w:t>
            </w:r>
          </w:p>
        </w:tc>
        <w:tc>
          <w:tcPr/>
          <w:p>
            <w:pPr>
              <w:pStyle w:val="Compact"/>
              <w:jc w:val="left"/>
            </w:pPr>
            <w:r>
              <w:t xml:space="preserve">176,000</w:t>
            </w:r>
          </w:p>
        </w:tc>
        <w:tc>
          <w:tcPr/>
          <w:p>
            <w:pPr>
              <w:pStyle w:val="Compact"/>
              <w:jc w:val="left"/>
            </w:pPr>
            <w:r>
              <w:t xml:space="preserve">Month 12 of engagement</w:t>
            </w:r>
          </w:p>
        </w:tc>
      </w:tr>
    </w:tbl>
    <w:bookmarkEnd w:id="24"/>
    <w:bookmarkStart w:id="25" w:name="terms-and-conditions"/>
    <w:p>
      <w:pPr>
        <w:pStyle w:val="Heading2"/>
      </w:pPr>
      <w:r>
        <w:t xml:space="preserve">5. Terms and Conditions</w:t>
      </w:r>
    </w:p>
    <w:p>
      <w:pPr>
        <w:numPr>
          <w:ilvl w:val="0"/>
          <w:numId w:val="1001"/>
        </w:numPr>
        <w:pStyle w:val="Compact"/>
      </w:pPr>
      <w:r>
        <w:t xml:space="preserve">This Quotation Estimate is valid for a period of ninety (90) days from the date of issue. After this period, all costs associated with the Education Administrator engagement in Morocco Casablanca are subject to revision based on market conditions and exchange rate fluctuations.</w:t>
      </w:r>
    </w:p>
    <w:p>
      <w:pPr>
        <w:numPr>
          <w:ilvl w:val="0"/>
          <w:numId w:val="1001"/>
        </w:numPr>
        <w:pStyle w:val="Compact"/>
      </w:pPr>
      <w:r>
        <w:t xml:space="preserve">All payments shall be made in Moroccan Dirhams (MAD) via bank transfer to the designated account of Atlas Education Consulting SARL, Casablanca. International transfers in EUR or USD are accepted at the prevailing exchange rate on the day of transaction.</w:t>
      </w:r>
    </w:p>
    <w:p>
      <w:pPr>
        <w:numPr>
          <w:ilvl w:val="0"/>
          <w:numId w:val="1001"/>
        </w:numPr>
        <w:pStyle w:val="Compact"/>
      </w:pPr>
      <w:r>
        <w:t xml:space="preserve">The Education Administrator position is governed by the Moroccan Labor Code (Code du Travail) and applicable regulations issued by the Ministry of National Education, Preschool, and Sports of the Kingdom of Morocco.</w:t>
      </w:r>
    </w:p>
    <w:p>
      <w:pPr>
        <w:numPr>
          <w:ilvl w:val="0"/>
          <w:numId w:val="1001"/>
        </w:numPr>
        <w:pStyle w:val="Compact"/>
      </w:pPr>
      <w:r>
        <w:t xml:space="preserve">Any changes to the scope of services outlined in this Quotation Estimate must be agreed upon in writing by both parties. Supplementary work will be billed at the rates specified herein or as mutually agreed.</w:t>
      </w:r>
    </w:p>
    <w:p>
      <w:pPr>
        <w:numPr>
          <w:ilvl w:val="0"/>
          <w:numId w:val="1001"/>
        </w:numPr>
        <w:pStyle w:val="Compact"/>
      </w:pPr>
      <w:r>
        <w:t xml:space="preserve">Confidentiality: All information exchanged during the execution of this Quotation Estimate, including candidate data, institutional records, and financial details, shall be treated as strictly confidential in accordance with Moroccan data protection law (Law 09-08).</w:t>
      </w:r>
    </w:p>
    <w:p>
      <w:pPr>
        <w:numPr>
          <w:ilvl w:val="0"/>
          <w:numId w:val="1001"/>
        </w:numPr>
        <w:pStyle w:val="Compact"/>
      </w:pPr>
      <w:r>
        <w:t xml:space="preserve">Force Majeure: Neither party shall be liable for delays or failures in performance resulting from events beyond reasonable control, including but not limited to natural disasters, government mandates, or public health emergencies affecting the Casablanca region.</w:t>
      </w:r>
    </w:p>
    <w:p>
      <w:pPr>
        <w:numPr>
          <w:ilvl w:val="0"/>
          <w:numId w:val="1001"/>
        </w:numPr>
        <w:pStyle w:val="Compact"/>
      </w:pPr>
      <w:r>
        <w:t xml:space="preserve">Dispute Resolution: Any disputes arising from this Quotation Estimate shall be resolved through amicable negotiation. Failing resolution within thirty (30) days, the matter shall be submitted to the competent courts of Casablanca, Morocco.</w:t>
      </w:r>
    </w:p>
    <w:p>
      <w:pPr>
        <w:numPr>
          <w:ilvl w:val="0"/>
          <w:numId w:val="1001"/>
        </w:numPr>
        <w:pStyle w:val="Compact"/>
      </w:pPr>
      <w:r>
        <w:t xml:space="preserve">This Quotation Estimate does not constitute a binding contract until formally signed and stamped by both parties. Upon acceptance, it shall serve as the foundational document for the subsequent service agreement.</w:t>
      </w:r>
    </w:p>
    <w:bookmarkEnd w:id="25"/>
    <w:bookmarkStart w:id="26" w:name="acceptance-and-authorization"/>
    <w:p>
      <w:pPr>
        <w:pStyle w:val="Heading2"/>
      </w:pPr>
      <w:r>
        <w:t xml:space="preserve">6. Acceptance and Authorization</w:t>
      </w:r>
    </w:p>
    <w:p>
      <w:pPr>
        <w:pStyle w:val="FirstParagraph"/>
      </w:pPr>
      <w:r>
        <w:t xml:space="preserve">By signing below, the Client acknowledges receipt of this Quotation Estimate for the Education Administrator services in Morocco Casablanca and agrees to the terms, conditions, and cost structure outlined herein. The Provider confirms its commitment to delivering the specified services with the highest standard of professionalism and regulatory compliance.</w:t>
      </w:r>
    </w:p>
    <w:p>
      <w:pPr>
        <w:pStyle w:val="BodyText"/>
      </w:pPr>
      <w:r>
        <w:rPr>
          <w:bCs/>
          <w:b/>
        </w:rPr>
        <w:t xml:space="preserve">For the Provider:</w:t>
      </w:r>
    </w:p>
    <w:p>
      <w:pPr>
        <w:pStyle w:val="BodyText"/>
      </w:pPr>
      <w:r>
        <w:t xml:space="preserve">Atlas Education Consulting SARL</w:t>
      </w:r>
    </w:p>
    <w:p>
      <w:pPr>
        <w:pStyle w:val="BodyText"/>
      </w:pPr>
      <w:r>
        <w:t xml:space="preserve">Authorized Signatory &amp; Stamp</w:t>
      </w:r>
    </w:p>
    <w:p>
      <w:pPr>
        <w:pStyle w:val="BodyText"/>
      </w:pPr>
      <w:r>
        <w:t xml:space="preserve">Date: _______________</w:t>
      </w:r>
    </w:p>
    <w:p>
      <w:pPr>
        <w:pStyle w:val="BodyText"/>
      </w:pPr>
      <w:r>
        <w:rPr>
          <w:bCs/>
          <w:b/>
        </w:rPr>
        <w:t xml:space="preserve">For the Client:</w:t>
      </w:r>
    </w:p>
    <w:p>
      <w:pPr>
        <w:pStyle w:val="BodyText"/>
      </w:pPr>
      <w:r>
        <w:t xml:space="preserve">École Internationale de Casablanca</w:t>
      </w:r>
    </w:p>
    <w:p>
      <w:pPr>
        <w:pStyle w:val="BodyText"/>
      </w:pPr>
      <w:r>
        <w:t xml:space="preserve">Authorized Signatory &amp; Stamp</w:t>
      </w:r>
    </w:p>
    <w:p>
      <w:pPr>
        <w:pStyle w:val="BodyText"/>
      </w:pPr>
      <w:r>
        <w:t xml:space="preserve">Date: _______________</w:t>
      </w:r>
    </w:p>
    <w:p>
      <w:pPr>
        <w:pStyle w:val="BodyText"/>
      </w:pPr>
      <w:r>
        <w:t xml:space="preserve">Quotation Estimate QE-EDU-CAS-2025-0472 | Education Administrator Services | Morocco Casablanca</w:t>
      </w:r>
    </w:p>
    <w:p>
      <w:pPr>
        <w:pStyle w:val="BodyText"/>
      </w:pPr>
      <w:r>
        <w:t xml:space="preserve">Atlas Education Consulting SARL – RC: 458721 – ICE: 002345678000091 – IF: 40567890</w:t>
      </w:r>
    </w:p>
    <w:p>
      <w:pPr>
        <w:pStyle w:val="BodyText"/>
      </w:pPr>
      <w:r>
        <w:t xml:space="preserve">This document is generated electronically and is valid without a physical stamp. Page 1 of 1.</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Education Administrator - Morocco Casablanca</dc:title>
  <dc:creator/>
  <dc:language>en</dc:language>
  <cp:keywords/>
  <dcterms:created xsi:type="dcterms:W3CDTF">2026-10-10T06:19:00Z</dcterms:created>
  <dcterms:modified xsi:type="dcterms:W3CDTF">2026-10-10T06:19:00Z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