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Education</w:t>
      </w:r>
      <w:r>
        <w:t xml:space="preserve"> </w:t>
      </w:r>
      <w:r>
        <w:t xml:space="preserve">Administrator</w:t>
      </w:r>
      <w:r>
        <w:t xml:space="preserve"> </w:t>
      </w:r>
      <w:r>
        <w:t xml:space="preserve">-</w:t>
      </w:r>
      <w:r>
        <w:t xml:space="preserve"> </w:t>
      </w:r>
      <w:r>
        <w:t xml:space="preserve">Russia</w:t>
      </w:r>
      <w:r>
        <w:t xml:space="preserve"> </w:t>
      </w:r>
      <w:r>
        <w:t xml:space="preserve">Moscow</w:t>
      </w:r>
    </w:p>
    <w:bookmarkStart w:id="20" w:name="quotation-estimate"/>
    <w:p>
      <w:pPr>
        <w:pStyle w:val="Heading1"/>
      </w:pPr>
      <w:r>
        <w:t xml:space="preserve">Quotation Estimate</w:t>
      </w:r>
    </w:p>
    <w:p>
      <w:pPr>
        <w:pStyle w:val="FirstParagraph"/>
      </w:pPr>
      <w:r>
        <w:t xml:space="preserve">Professional Staffing &amp; Educational Services Division</w:t>
      </w:r>
    </w:p>
    <w:p>
      <w:pPr>
        <w:pStyle w:val="BodyText"/>
      </w:pPr>
      <w:r>
        <w:t xml:space="preserve">12 Tverskaya Street, Building 4, Moscow, 101000, Russian Federation</w:t>
      </w:r>
    </w:p>
    <w:p>
      <w:pPr>
        <w:pStyle w:val="BodyText"/>
      </w:pPr>
      <w:r>
        <w:t xml:space="preserve">Tel: +7 (495) 000-00-00 | Email: quotations@edadmin-moscow.ru</w:t>
      </w:r>
    </w:p>
    <w:p>
      <w:pPr>
        <w:pStyle w:val="BodyText"/>
      </w:pPr>
      <w:r>
        <w:t xml:space="preserve">INN: 7700000000 | OGRN: 1007700000000</w:t>
      </w:r>
    </w:p>
    <w:bookmarkEnd w:id="20"/>
    <w:p>
      <w:pPr>
        <w:pStyle w:val="BodyText"/>
      </w:pPr>
      <w:r>
        <w:rPr>
          <w:bCs/>
          <w:b/>
        </w:rPr>
        <w:t xml:space="preserve">Quotation No.:</w:t>
      </w:r>
      <w:r>
        <w:t xml:space="preserve"> </w:t>
      </w:r>
      <w:r>
        <w:t xml:space="preserve">QE-2025-EDM-0472</w:t>
      </w:r>
      <w:r>
        <w:br/>
      </w:r>
      <w:r>
        <w:rPr>
          <w:bCs/>
          <w:b/>
        </w:rPr>
        <w:t xml:space="preserve">Date Issued:</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Prepared For:</w:t>
      </w:r>
      <w:r>
        <w:br/>
      </w:r>
      <w:r>
        <w:t xml:space="preserve">Moscow State Educational Consortium</w:t>
      </w:r>
      <w:r>
        <w:br/>
      </w:r>
      <w:r>
        <w:t xml:space="preserve">5 Leningradsky Prospekt, Moscow, 125047</w:t>
      </w:r>
      <w:r>
        <w:br/>
      </w:r>
      <w:r>
        <w:t xml:space="preserve">Contact: Dr. Elena V. Sokolova</w:t>
      </w:r>
      <w:r>
        <w:br/>
      </w:r>
      <w:r>
        <w:t xml:space="preserve">Email: e.sokolova@msedconsortium.ru</w:t>
      </w:r>
    </w:p>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formally issued in response to the request submitted by the Moscow State Educational Consortium for the recruitment, onboarding, and ongoing professional management of an</w:t>
      </w:r>
      <w:r>
        <w:t xml:space="preserve"> </w:t>
      </w:r>
      <w:r>
        <w:t xml:space="preserve">Education Administrator</w:t>
      </w:r>
      <w:r>
        <w:t xml:space="preserve"> </w:t>
      </w:r>
      <w:r>
        <w:t xml:space="preserve">position. The scope of this estimate covers all costs associated with securing a qualified</w:t>
      </w:r>
      <w:r>
        <w:t xml:space="preserve"> </w:t>
      </w:r>
      <w:r>
        <w:t xml:space="preserve">Education Administrator</w:t>
      </w:r>
      <w:r>
        <w:t xml:space="preserve"> </w:t>
      </w:r>
      <w:r>
        <w:t xml:space="preserve">to operate within the</w:t>
      </w:r>
      <w:r>
        <w:t xml:space="preserve"> </w:t>
      </w:r>
      <w:r>
        <w:t xml:space="preserve">Russia Moscow</w:t>
      </w:r>
      <w:r>
        <w:t xml:space="preserve"> </w:t>
      </w:r>
      <w:r>
        <w:t xml:space="preserve">metropolitan area, including but not limited to recruitment fees, compensation, statutory contributions, professional development, and administrative support services. All figures presented herein are denominated in Russian Rubles (RUB) and reflect current market conditions as of the date of issuance in</w:t>
      </w:r>
      <w:r>
        <w:t xml:space="preserve"> </w:t>
      </w:r>
      <w:r>
        <w:t xml:space="preserve">Russia Moscow</w:t>
      </w:r>
      <w:r>
        <w:t xml:space="preserve">.</w:t>
      </w:r>
    </w:p>
    <w:bookmarkEnd w:id="21"/>
    <w:bookmarkStart w:id="22" w:name="Xe6b269731e030716c037263561e6fc5ede49829"/>
    <w:p>
      <w:pPr>
        <w:pStyle w:val="Heading2"/>
      </w:pPr>
      <w:r>
        <w:t xml:space="preserve">2. Scope of Services – Education Administrator Role</w:t>
      </w:r>
    </w:p>
    <w:p>
      <w:pPr>
        <w:pStyle w:val="FirstParagraph"/>
      </w:pPr>
      <w:r>
        <w:t xml:space="preserve">The</w:t>
      </w:r>
      <w:r>
        <w:t xml:space="preserve"> </w:t>
      </w:r>
      <w:r>
        <w:t xml:space="preserve">Education Administrator</w:t>
      </w:r>
      <w:r>
        <w:t xml:space="preserve"> </w:t>
      </w:r>
      <w:r>
        <w:t xml:space="preserve">engaged under this</w:t>
      </w:r>
      <w:r>
        <w:t xml:space="preserve"> </w:t>
      </w:r>
      <w:r>
        <w:t xml:space="preserve">Quotation Estimate</w:t>
      </w:r>
      <w:r>
        <w:t xml:space="preserve"> </w:t>
      </w:r>
      <w:r>
        <w:t xml:space="preserve">shall be responsible for the following duties within the</w:t>
      </w:r>
      <w:r>
        <w:t xml:space="preserve"> </w:t>
      </w:r>
      <w:r>
        <w:t xml:space="preserve">Russia Moscow</w:t>
      </w:r>
      <w:r>
        <w:t xml:space="preserve"> </w:t>
      </w:r>
      <w:r>
        <w:t xml:space="preserve">educational framework:</w:t>
      </w:r>
    </w:p>
    <w:p>
      <w:pPr>
        <w:numPr>
          <w:ilvl w:val="0"/>
          <w:numId w:val="1001"/>
        </w:numPr>
        <w:pStyle w:val="Compact"/>
      </w:pPr>
      <w:r>
        <w:t xml:space="preserve">Coordination of academic scheduling, curriculum implementation, and institutional reporting across all affiliated schools in the Moscow district.</w:t>
      </w:r>
    </w:p>
    <w:p>
      <w:pPr>
        <w:numPr>
          <w:ilvl w:val="0"/>
          <w:numId w:val="1001"/>
        </w:numPr>
        <w:pStyle w:val="Compact"/>
      </w:pPr>
      <w:r>
        <w:t xml:space="preserve">Management of student enrollment records, compliance with the Federal Law on Education of the Russian Federation (No. 273-FZ), and maintenance of digital administrative systems.</w:t>
      </w:r>
    </w:p>
    <w:p>
      <w:pPr>
        <w:numPr>
          <w:ilvl w:val="0"/>
          <w:numId w:val="1001"/>
        </w:numPr>
        <w:pStyle w:val="Compact"/>
      </w:pPr>
      <w:r>
        <w:t xml:space="preserve">Supervision of teaching staff performance evaluations, professional development planning, and inter-departmental communication.</w:t>
      </w:r>
    </w:p>
    <w:p>
      <w:pPr>
        <w:numPr>
          <w:ilvl w:val="0"/>
          <w:numId w:val="1001"/>
        </w:numPr>
        <w:pStyle w:val="Compact"/>
      </w:pPr>
      <w:r>
        <w:t xml:space="preserve">Preparation of quarterly and annual administrative reports for the Moscow City Department of Education and municipal oversight bodies.</w:t>
      </w:r>
    </w:p>
    <w:p>
      <w:pPr>
        <w:numPr>
          <w:ilvl w:val="0"/>
          <w:numId w:val="1001"/>
        </w:numPr>
        <w:pStyle w:val="Compact"/>
      </w:pPr>
      <w:r>
        <w:t xml:space="preserve">Facilitation of parent-teacher conferences, accreditation audits, and regulatory inspections specific to the</w:t>
      </w:r>
      <w:r>
        <w:t xml:space="preserve"> </w:t>
      </w:r>
      <w:r>
        <w:t xml:space="preserve">Russia Moscow</w:t>
      </w:r>
      <w:r>
        <w:t xml:space="preserve"> </w:t>
      </w:r>
      <w:r>
        <w:t xml:space="preserve">jurisdiction.</w:t>
      </w:r>
    </w:p>
    <w:p>
      <w:pPr>
        <w:numPr>
          <w:ilvl w:val="0"/>
          <w:numId w:val="1001"/>
        </w:numPr>
        <w:pStyle w:val="Compact"/>
      </w:pPr>
      <w:r>
        <w:t xml:space="preserve">Budget oversight for non-academic operational expenditures, vendor contract management, and procurement compliance.</w:t>
      </w:r>
    </w:p>
    <w:bookmarkEnd w:id="22"/>
    <w:bookmarkStart w:id="23" w:name="detailed-cost-breakdown"/>
    <w:p>
      <w:pPr>
        <w:pStyle w:val="Heading2"/>
      </w:pPr>
      <w:r>
        <w:t xml:space="preserve">3. Detailed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Item / Service Description</w:t>
            </w:r>
          </w:p>
        </w:tc>
        <w:tc>
          <w:tcPr/>
          <w:p>
            <w:pPr>
              <w:pStyle w:val="Compact"/>
              <w:jc w:val="left"/>
            </w:pPr>
            <w:r>
              <w:t xml:space="preserve">Duration</w:t>
            </w:r>
          </w:p>
        </w:tc>
        <w:tc>
          <w:tcPr/>
          <w:p>
            <w:pPr>
              <w:pStyle w:val="Compact"/>
              <w:jc w:val="left"/>
            </w:pPr>
            <w:r>
              <w:t xml:space="preserve">Unit Cost (RUB)</w:t>
            </w:r>
          </w:p>
        </w:tc>
        <w:tc>
          <w:tcPr/>
          <w:p>
            <w:pPr>
              <w:pStyle w:val="Compact"/>
              <w:jc w:val="left"/>
            </w:pPr>
            <w:r>
              <w:t xml:space="preserve">Total (RUB)</w:t>
            </w:r>
          </w:p>
        </w:tc>
      </w:tr>
      <w:tr>
        <w:tc>
          <w:tcPr/>
          <w:p>
            <w:pPr>
              <w:pStyle w:val="Compact"/>
              <w:jc w:val="left"/>
            </w:pPr>
            <w:r>
              <w:t xml:space="preserve">1</w:t>
            </w:r>
          </w:p>
        </w:tc>
        <w:tc>
          <w:tcPr/>
          <w:p>
            <w:pPr>
              <w:pStyle w:val="Compact"/>
              <w:jc w:val="left"/>
            </w:pPr>
            <w:r>
              <w:t xml:space="preserve">Recruitment &amp; Screening of Education Administrator Candidate (Moscow market)</w:t>
            </w:r>
          </w:p>
        </w:tc>
        <w:tc>
          <w:tcPr/>
          <w:p>
            <w:pPr>
              <w:pStyle w:val="Compact"/>
              <w:jc w:val="left"/>
            </w:pPr>
            <w:r>
              <w:t xml:space="preserve">One-time</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2</w:t>
            </w:r>
          </w:p>
        </w:tc>
        <w:tc>
          <w:tcPr/>
          <w:p>
            <w:pPr>
              <w:pStyle w:val="Compact"/>
              <w:jc w:val="left"/>
            </w:pPr>
            <w:r>
              <w:t xml:space="preserve">Monthly Base Salary – Education Administrator (Senior Level)</w:t>
            </w:r>
          </w:p>
        </w:tc>
        <w:tc>
          <w:tcPr/>
          <w:p>
            <w:pPr>
              <w:pStyle w:val="Compact"/>
              <w:jc w:val="left"/>
            </w:pPr>
            <w:r>
              <w:t xml:space="preserve">12 months</w:t>
            </w:r>
          </w:p>
        </w:tc>
        <w:tc>
          <w:tcPr/>
          <w:p>
            <w:pPr>
              <w:pStyle w:val="Compact"/>
              <w:jc w:val="left"/>
            </w:pPr>
            <w:r>
              <w:t xml:space="preserve">220,000</w:t>
            </w:r>
          </w:p>
        </w:tc>
        <w:tc>
          <w:tcPr/>
          <w:p>
            <w:pPr>
              <w:pStyle w:val="Compact"/>
              <w:jc w:val="left"/>
            </w:pPr>
            <w:r>
              <w:t xml:space="preserve">2,640,000</w:t>
            </w:r>
          </w:p>
        </w:tc>
      </w:tr>
      <w:tr>
        <w:tc>
          <w:tcPr/>
          <w:p>
            <w:pPr>
              <w:pStyle w:val="Compact"/>
              <w:jc w:val="left"/>
            </w:pPr>
            <w:r>
              <w:t xml:space="preserve">3</w:t>
            </w:r>
          </w:p>
        </w:tc>
        <w:tc>
          <w:tcPr/>
          <w:p>
            <w:pPr>
              <w:pStyle w:val="Compact"/>
              <w:jc w:val="left"/>
            </w:pPr>
            <w:r>
              <w:t xml:space="preserve">Statutory Social Insurance Contributions (Pension, Medical, Social – 30.2%)</w:t>
            </w:r>
          </w:p>
        </w:tc>
        <w:tc>
          <w:tcPr/>
          <w:p>
            <w:pPr>
              <w:pStyle w:val="Compact"/>
              <w:jc w:val="left"/>
            </w:pPr>
            <w:r>
              <w:t xml:space="preserve">12 months</w:t>
            </w:r>
          </w:p>
        </w:tc>
        <w:tc>
          <w:tcPr/>
          <w:p>
            <w:pPr>
              <w:pStyle w:val="Compact"/>
              <w:jc w:val="left"/>
            </w:pPr>
            <w:r>
              <w:t xml:space="preserve">66,440</w:t>
            </w:r>
          </w:p>
        </w:tc>
        <w:tc>
          <w:tcPr/>
          <w:p>
            <w:pPr>
              <w:pStyle w:val="Compact"/>
              <w:jc w:val="left"/>
            </w:pPr>
            <w:r>
              <w:t xml:space="preserve">797,280</w:t>
            </w:r>
          </w:p>
        </w:tc>
      </w:tr>
      <w:tr>
        <w:tc>
          <w:tcPr/>
          <w:p>
            <w:pPr>
              <w:pStyle w:val="Compact"/>
              <w:jc w:val="left"/>
            </w:pPr>
            <w:r>
              <w:t xml:space="preserve">4</w:t>
            </w:r>
          </w:p>
        </w:tc>
        <w:tc>
          <w:tcPr/>
          <w:p>
            <w:pPr>
              <w:pStyle w:val="Compact"/>
              <w:jc w:val="left"/>
            </w:pPr>
            <w:r>
              <w:t xml:space="preserve">Professional Liability Insurance – Education Sector (Moscow Region)</w:t>
            </w:r>
          </w:p>
        </w:tc>
        <w:tc>
          <w:tcPr/>
          <w:p>
            <w:pPr>
              <w:pStyle w:val="Compact"/>
              <w:jc w:val="left"/>
            </w:pPr>
            <w:r>
              <w:t xml:space="preserve">12 months</w:t>
            </w:r>
          </w:p>
        </w:tc>
        <w:tc>
          <w:tcPr/>
          <w:p>
            <w:pPr>
              <w:pStyle w:val="Compact"/>
              <w:jc w:val="left"/>
            </w:pPr>
            <w:r>
              <w:t xml:space="preserve">48,000</w:t>
            </w:r>
          </w:p>
        </w:tc>
        <w:tc>
          <w:tcPr/>
          <w:p>
            <w:pPr>
              <w:pStyle w:val="Compact"/>
              <w:jc w:val="left"/>
            </w:pPr>
            <w:r>
              <w:t xml:space="preserve">48,000</w:t>
            </w:r>
          </w:p>
        </w:tc>
      </w:tr>
      <w:tr>
        <w:tc>
          <w:tcPr/>
          <w:p>
            <w:pPr>
              <w:pStyle w:val="Compact"/>
              <w:jc w:val="left"/>
            </w:pPr>
            <w:r>
              <w:t xml:space="preserve">5</w:t>
            </w:r>
          </w:p>
        </w:tc>
        <w:tc>
          <w:tcPr/>
          <w:p>
            <w:pPr>
              <w:pStyle w:val="Compact"/>
              <w:jc w:val="left"/>
            </w:pPr>
            <w:r>
              <w:t xml:space="preserve">Annual Professional Development &amp; Certification (Ministry of Education of RF)</w:t>
            </w:r>
          </w:p>
        </w:tc>
        <w:tc>
          <w:tcPr/>
          <w:p>
            <w:pPr>
              <w:pStyle w:val="Compact"/>
              <w:jc w:val="left"/>
            </w:pPr>
            <w:r>
              <w:t xml:space="preserve">12 months</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6</w:t>
            </w:r>
          </w:p>
        </w:tc>
        <w:tc>
          <w:tcPr/>
          <w:p>
            <w:pPr>
              <w:pStyle w:val="Compact"/>
              <w:jc w:val="left"/>
            </w:pPr>
            <w:r>
              <w:t xml:space="preserve">Workstation, Software Licenses &amp; Administrative Infrastructure</w:t>
            </w:r>
          </w:p>
        </w:tc>
        <w:tc>
          <w:tcPr/>
          <w:p>
            <w:pPr>
              <w:pStyle w:val="Compact"/>
              <w:jc w:val="left"/>
            </w:pPr>
            <w:r>
              <w:t xml:space="preserve">One-time</w:t>
            </w:r>
          </w:p>
        </w:tc>
        <w:tc>
          <w:tcPr/>
          <w:p>
            <w:pPr>
              <w:pStyle w:val="Compact"/>
              <w:jc w:val="left"/>
            </w:pPr>
            <w:r>
              <w:t xml:space="preserve">310,000</w:t>
            </w:r>
          </w:p>
        </w:tc>
        <w:tc>
          <w:tcPr/>
          <w:p>
            <w:pPr>
              <w:pStyle w:val="Compact"/>
              <w:jc w:val="left"/>
            </w:pPr>
            <w:r>
              <w:t xml:space="preserve">310,000</w:t>
            </w:r>
          </w:p>
        </w:tc>
      </w:tr>
      <w:tr>
        <w:tc>
          <w:tcPr/>
          <w:p>
            <w:pPr>
              <w:pStyle w:val="Compact"/>
              <w:jc w:val="left"/>
            </w:pPr>
            <w:r>
              <w:t xml:space="preserve">7</w:t>
            </w:r>
          </w:p>
        </w:tc>
        <w:tc>
          <w:tcPr/>
          <w:p>
            <w:pPr>
              <w:pStyle w:val="Compact"/>
              <w:jc w:val="left"/>
            </w:pPr>
            <w:r>
              <w:t xml:space="preserve">Onboarding, Visa/Work Permit Processing (if applicable) &amp; Legal Compliance</w:t>
            </w:r>
          </w:p>
        </w:tc>
        <w:tc>
          <w:tcPr/>
          <w:p>
            <w:pPr>
              <w:pStyle w:val="Compact"/>
              <w:jc w:val="left"/>
            </w:pPr>
            <w:r>
              <w:t xml:space="preserve">One-time</w:t>
            </w:r>
          </w:p>
        </w:tc>
        <w:tc>
          <w:tcPr/>
          <w:p>
            <w:pPr>
              <w:pStyle w:val="Compact"/>
              <w:jc w:val="left"/>
            </w:pPr>
            <w:r>
              <w:t xml:space="preserve">72,000</w:t>
            </w:r>
          </w:p>
        </w:tc>
        <w:tc>
          <w:tcPr/>
          <w:p>
            <w:pPr>
              <w:pStyle w:val="Compact"/>
              <w:jc w:val="left"/>
            </w:pPr>
            <w:r>
              <w:t xml:space="preserve">72,000</w:t>
            </w:r>
          </w:p>
        </w:tc>
      </w:tr>
      <w:tr>
        <w:tc>
          <w:tcPr/>
          <w:p>
            <w:pPr>
              <w:pStyle w:val="Compact"/>
              <w:jc w:val="left"/>
            </w:pPr>
            <w:r>
              <w:t xml:space="preserve">8</w:t>
            </w:r>
          </w:p>
        </w:tc>
        <w:tc>
          <w:tcPr/>
          <w:p>
            <w:pPr>
              <w:pStyle w:val="Compact"/>
              <w:jc w:val="left"/>
            </w:pPr>
            <w:r>
              <w:t xml:space="preserve">Quarterly Performance Review &amp; Administrative Oversight (Agency Fee)</w:t>
            </w:r>
          </w:p>
        </w:tc>
        <w:tc>
          <w:tcPr/>
          <w:p>
            <w:pPr>
              <w:pStyle w:val="Compact"/>
              <w:jc w:val="left"/>
            </w:pPr>
            <w:r>
              <w:t xml:space="preserve">4 quarters</w:t>
            </w:r>
          </w:p>
        </w:tc>
        <w:tc>
          <w:tcPr/>
          <w:p>
            <w:pPr>
              <w:pStyle w:val="Compact"/>
              <w:jc w:val="left"/>
            </w:pPr>
            <w:r>
              <w:t xml:space="preserve">55,000</w:t>
            </w:r>
          </w:p>
        </w:tc>
        <w:tc>
          <w:tcPr/>
          <w:p>
            <w:pPr>
              <w:pStyle w:val="Compact"/>
              <w:jc w:val="left"/>
            </w:pPr>
            <w:r>
              <w:t xml:space="preserve">220,000</w:t>
            </w:r>
          </w:p>
        </w:tc>
      </w:tr>
      <w:tr>
        <w:tc>
          <w:tcPr/>
          <w:p>
            <w:pPr>
              <w:pStyle w:val="Compact"/>
              <w:jc w:val="left"/>
            </w:pPr>
            <w:r>
              <w:t xml:space="preserve">9</w:t>
            </w:r>
          </w:p>
        </w:tc>
        <w:tc>
          <w:tcPr/>
          <w:p>
            <w:pPr>
              <w:pStyle w:val="Compact"/>
              <w:jc w:val="left"/>
            </w:pPr>
            <w:r>
              <w:t xml:space="preserve">Contingency &amp; Miscellaneous Administrative Costs (5%)</w:t>
            </w:r>
          </w:p>
        </w:tc>
        <w:tc>
          <w:tcPr/>
          <w:p>
            <w:pPr>
              <w:pStyle w:val="Compact"/>
              <w:jc w:val="left"/>
            </w:pPr>
            <w:r>
              <w:t xml:space="preserve">12 months</w:t>
            </w:r>
          </w:p>
        </w:tc>
        <w:tc>
          <w:tcPr/>
          <w:p>
            <w:pPr>
              <w:pStyle w:val="Compact"/>
              <w:jc w:val="left"/>
            </w:pPr>
            <w:r>
              <w:t xml:space="preserve">—</w:t>
            </w:r>
          </w:p>
        </w:tc>
        <w:tc>
          <w:tcPr/>
          <w:p>
            <w:pPr>
              <w:pStyle w:val="Compact"/>
              <w:jc w:val="left"/>
            </w:pPr>
            <w:r>
              <w:t xml:space="preserve">224,664</w:t>
            </w:r>
          </w:p>
        </w:tc>
      </w:tr>
      <w:tr>
        <w:tc>
          <w:tcPr>
            <w:gridSpan w:val="4"/>
          </w:tcPr>
          <w:p>
            <w:pPr>
              <w:pStyle w:val="Compact"/>
              <w:jc w:val="left"/>
            </w:pPr>
            <w:r>
              <w:t xml:space="preserve">GRAND TOTAL (VAT 20% included)</w:t>
            </w:r>
          </w:p>
        </w:tc>
        <w:tc>
          <w:tcPr/>
          <w:p>
            <w:pPr>
              <w:pStyle w:val="Compact"/>
              <w:jc w:val="left"/>
            </w:pPr>
            <w:r>
              <w:t xml:space="preserve">4,592,044 RUB</w:t>
            </w:r>
          </w:p>
        </w:tc>
      </w:tr>
    </w:tbl>
    <w:bookmarkEnd w:id="23"/>
    <w:bookmarkStart w:id="24" w:name="payment-schedule"/>
    <w:p>
      <w:pPr>
        <w:pStyle w:val="Heading2"/>
      </w:pPr>
      <w:r>
        <w:t xml:space="preserve">4. Payment Schedule</w:t>
      </w:r>
    </w:p>
    <w:p>
      <w:pPr>
        <w:pStyle w:val="FirstParagraph"/>
      </w:pPr>
      <w:r>
        <w:t xml:space="preserve">Payment for this</w:t>
      </w:r>
      <w:r>
        <w:t xml:space="preserve"> </w:t>
      </w:r>
      <w:r>
        <w:t xml:space="preserve">Quotation Estimate</w:t>
      </w:r>
      <w:r>
        <w:t xml:space="preserve"> </w:t>
      </w:r>
      <w:r>
        <w:t xml:space="preserve">shall be structured as follows:</w:t>
      </w:r>
    </w:p>
    <w:p>
      <w:pPr>
        <w:numPr>
          <w:ilvl w:val="0"/>
          <w:numId w:val="1002"/>
        </w:numPr>
        <w:pStyle w:val="Compact"/>
      </w:pPr>
      <w:r>
        <w:rPr>
          <w:bCs/>
          <w:b/>
        </w:rPr>
        <w:t xml:space="preserve">30% Advance Payment</w:t>
      </w:r>
      <w:r>
        <w:t xml:space="preserve"> </w:t>
      </w:r>
      <w:r>
        <w:t xml:space="preserve">(1,377,613 RUB) – due within 10 business days of signed acceptance, to initiate the recruitment of the</w:t>
      </w:r>
      <w:r>
        <w:t xml:space="preserve"> </w:t>
      </w:r>
      <w:r>
        <w:t xml:space="preserve">Education Administrator</w:t>
      </w:r>
      <w:r>
        <w:t xml:space="preserve">.</w:t>
      </w:r>
    </w:p>
    <w:p>
      <w:pPr>
        <w:numPr>
          <w:ilvl w:val="0"/>
          <w:numId w:val="1002"/>
        </w:numPr>
        <w:pStyle w:val="Compact"/>
      </w:pPr>
      <w:r>
        <w:rPr>
          <w:bCs/>
          <w:b/>
        </w:rPr>
        <w:t xml:space="preserve">40% Milestone Payment</w:t>
      </w:r>
      <w:r>
        <w:t xml:space="preserve"> </w:t>
      </w:r>
      <w:r>
        <w:t xml:space="preserve">(1,836,818 RUB) – due upon confirmed onboarding and first month of service commencement in</w:t>
      </w:r>
      <w:r>
        <w:t xml:space="preserve"> </w:t>
      </w:r>
      <w:r>
        <w:t xml:space="preserve">Russia Moscow</w:t>
      </w:r>
      <w:r>
        <w:t xml:space="preserve">.</w:t>
      </w:r>
    </w:p>
    <w:p>
      <w:pPr>
        <w:numPr>
          <w:ilvl w:val="0"/>
          <w:numId w:val="1002"/>
        </w:numPr>
        <w:pStyle w:val="Compact"/>
      </w:pPr>
      <w:r>
        <w:rPr>
          <w:bCs/>
          <w:b/>
        </w:rPr>
        <w:t xml:space="preserve">30% Final Payment</w:t>
      </w:r>
      <w:r>
        <w:t xml:space="preserve"> </w:t>
      </w:r>
      <w:r>
        <w:t xml:space="preserve">(1,377,613 RUB) – due at the conclusion of the 12-month contract period, subject to satisfactory completion of all deliverables.</w:t>
      </w:r>
    </w:p>
    <w:bookmarkEnd w:id="24"/>
    <w:bookmarkStart w:id="25" w:name="terms-and-conditions"/>
    <w:p>
      <w:pPr>
        <w:pStyle w:val="Heading2"/>
      </w:pPr>
      <w:r>
        <w:t xml:space="preserve">5. Terms and Conditions</w:t>
      </w:r>
    </w:p>
    <w:p>
      <w:pPr>
        <w:numPr>
          <w:ilvl w:val="0"/>
          <w:numId w:val="1003"/>
        </w:numPr>
        <w:pStyle w:val="Compact"/>
      </w:pPr>
      <w:r>
        <w:t xml:space="preserve">This</w:t>
      </w:r>
      <w:r>
        <w:t xml:space="preserve"> </w:t>
      </w:r>
      <w:r>
        <w:t xml:space="preserve">Quotation Estimate</w:t>
      </w:r>
      <w:r>
        <w:t xml:space="preserve"> </w:t>
      </w:r>
      <w:r>
        <w:t xml:space="preserve">is valid for 30 calendar days from the date of issuance. After expiry, all pricing is subject to revision based on prevailing labor market conditions in</w:t>
      </w:r>
      <w:r>
        <w:t xml:space="preserve"> </w:t>
      </w:r>
      <w:r>
        <w:t xml:space="preserve">Russia Moscow</w:t>
      </w:r>
      <w:r>
        <w:t xml:space="preserve">.</w:t>
      </w:r>
    </w:p>
    <w:p>
      <w:pPr>
        <w:numPr>
          <w:ilvl w:val="0"/>
          <w:numId w:val="1003"/>
        </w:numPr>
        <w:pStyle w:val="Compact"/>
      </w:pPr>
      <w:r>
        <w:t xml:space="preserve">All services shall be performed in strict compliance with the Labor Code of the Russian Federation and applicable Moscow municipal regulations governing educational institutions.</w:t>
      </w:r>
    </w:p>
    <w:p>
      <w:pPr>
        <w:numPr>
          <w:ilvl w:val="0"/>
          <w:numId w:val="1003"/>
        </w:numPr>
        <w:pStyle w:val="Compact"/>
      </w:pPr>
      <w:r>
        <w:t xml:space="preserve">The</w:t>
      </w:r>
      <w:r>
        <w:t xml:space="preserve"> </w:t>
      </w:r>
      <w:r>
        <w:t xml:space="preserve">Education Administrator</w:t>
      </w:r>
      <w:r>
        <w:t xml:space="preserve"> </w:t>
      </w:r>
      <w:r>
        <w:t xml:space="preserve">shall be subject to a standard 14-day probationary period as stipulated under Russian labor law. Early termination during probation incurs no penalty to either party.</w:t>
      </w:r>
    </w:p>
    <w:p>
      <w:pPr>
        <w:numPr>
          <w:ilvl w:val="0"/>
          <w:numId w:val="1003"/>
        </w:numPr>
        <w:pStyle w:val="Compact"/>
      </w:pPr>
      <w:r>
        <w:t xml:space="preserve">Any changes to the scope of services, additional headcount, or extended contract duration beyond 12 months shall require a supplementary</w:t>
      </w:r>
      <w:r>
        <w:t xml:space="preserve"> </w:t>
      </w:r>
      <w:r>
        <w:t xml:space="preserve">Quotation Estimate</w:t>
      </w:r>
      <w:r>
        <w:t xml:space="preserve"> </w:t>
      </w:r>
      <w:r>
        <w:t xml:space="preserve">issued in writing.</w:t>
      </w:r>
    </w:p>
    <w:p>
      <w:pPr>
        <w:numPr>
          <w:ilvl w:val="0"/>
          <w:numId w:val="1003"/>
        </w:numPr>
        <w:pStyle w:val="Compact"/>
      </w:pPr>
      <w:r>
        <w:t xml:space="preserve">Confidentiality obligations apply to all personnel data, institutional records, and financial information exchanged in connection with this engagement.</w:t>
      </w:r>
    </w:p>
    <w:p>
      <w:pPr>
        <w:numPr>
          <w:ilvl w:val="0"/>
          <w:numId w:val="1003"/>
        </w:numPr>
        <w:pStyle w:val="Compact"/>
      </w:pPr>
      <w:r>
        <w:t xml:space="preserve">Disputes arising from this</w:t>
      </w:r>
      <w:r>
        <w:t xml:space="preserve"> </w:t>
      </w:r>
      <w:r>
        <w:t xml:space="preserve">Quotation Estimate</w:t>
      </w:r>
      <w:r>
        <w:t xml:space="preserve"> </w:t>
      </w:r>
      <w:r>
        <w:t xml:space="preserve">shall be resolved through arbitration in Moscow, Russian Federation, in accordance with the rules of the Moscow Arbitration Court.</w:t>
      </w:r>
    </w:p>
    <w:p>
      <w:pPr>
        <w:numPr>
          <w:ilvl w:val="0"/>
          <w:numId w:val="1003"/>
        </w:numPr>
        <w:pStyle w:val="Compact"/>
      </w:pPr>
      <w:r>
        <w:t xml:space="preserve">All invoices shall be issued in Russian Rubles and payable via bank transfer to the account specified on the invoice. Late payments shall accrue interest at the key rate of the Central Bank of the Russian Federation.</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authorizes the engagement of an</w:t>
      </w:r>
      <w:r>
        <w:t xml:space="preserve"> </w:t>
      </w:r>
      <w:r>
        <w:t xml:space="preserve">Education Administrator</w:t>
      </w:r>
      <w:r>
        <w:t xml:space="preserve"> </w:t>
      </w:r>
      <w:r>
        <w:t xml:space="preserve">under the terms, conditions, and pricing outlined herein for operations within</w:t>
      </w:r>
      <w:r>
        <w:t xml:space="preserve"> </w:t>
      </w:r>
      <w:r>
        <w:t xml:space="preserve">Russia Moscow</w:t>
      </w:r>
      <w:r>
        <w:t xml:space="preserve">.</w:t>
      </w:r>
    </w:p>
    <w:p>
      <w:pPr>
        <w:pStyle w:val="BodyText"/>
      </w:pPr>
      <w:r>
        <w:rPr>
          <w:bCs/>
          <w:b/>
        </w:rPr>
        <w:t xml:space="preserve">For the Client</w:t>
      </w:r>
      <w:r>
        <w:br/>
      </w:r>
      <w:r>
        <w:t xml:space="preserve">Moscow State Educational Consortium</w:t>
      </w:r>
      <w:r>
        <w:br/>
      </w:r>
      <w:r>
        <w:t xml:space="preserve">Name: _________________________</w:t>
      </w:r>
      <w:r>
        <w:br/>
      </w:r>
      <w:r>
        <w:t xml:space="preserve">Title: _________________________</w:t>
      </w:r>
      <w:r>
        <w:br/>
      </w:r>
      <w:r>
        <w:t xml:space="preserve">Date: _________________________</w:t>
      </w:r>
    </w:p>
    <w:p>
      <w:pPr>
        <w:pStyle w:val="BodyText"/>
      </w:pPr>
      <w:r>
        <w:rPr>
          <w:bCs/>
          <w:b/>
        </w:rPr>
        <w:t xml:space="preserve">For the Service Provider</w:t>
      </w:r>
      <w:r>
        <w:br/>
      </w:r>
      <w:r>
        <w:t xml:space="preserve">Professional Staffing &amp; Educational Services Division</w:t>
      </w:r>
      <w:r>
        <w:br/>
      </w:r>
      <w:r>
        <w:t xml:space="preserve">Name: _________________________</w:t>
      </w:r>
      <w:r>
        <w:br/>
      </w:r>
      <w:r>
        <w:t xml:space="preserve">Title: _________________________</w:t>
      </w:r>
      <w:r>
        <w:br/>
      </w:r>
      <w:r>
        <w:t xml:space="preserve">Date: _________________________</w:t>
      </w:r>
    </w:p>
    <w:p>
      <w:pPr>
        <w:pStyle w:val="BodyText"/>
      </w:pPr>
      <w:r>
        <w:t xml:space="preserve">Document Reference: QE-2025-EDM-0472 | Quotation Estimate – Education Administrator – Russia Moscow</w:t>
      </w:r>
    </w:p>
    <w:p>
      <w:pPr>
        <w:pStyle w:val="BodyText"/>
      </w:pPr>
      <w:r>
        <w:t xml:space="preserve">This document is generated electronically and carries the same legal weight as a signed original under Federal Law No. 63-FZ on Electronic Signatures.</w:t>
      </w:r>
    </w:p>
    <w:p>
      <w:pPr>
        <w:pStyle w:val="BodyText"/>
      </w:pPr>
      <w:r>
        <w:t xml:space="preserve">© 2025 Professional Staffing &amp; Educational Services Division, Moscow, Russian Federation.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Education Administrator - Russia Moscow</dc:title>
  <dc:creator/>
  <dc:language>en</dc:language>
  <cp:keywords/>
  <dcterms:created xsi:type="dcterms:W3CDTF">2026-10-10T09:13:27Z</dcterms:created>
  <dcterms:modified xsi:type="dcterms:W3CDTF">2026-10-10T09:13:27Z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