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Education</w:t>
      </w:r>
      <w:r>
        <w:t xml:space="preserve"> </w:t>
      </w:r>
      <w:r>
        <w:t xml:space="preserve">Administrator</w:t>
      </w:r>
      <w:r>
        <w:t xml:space="preserve"> </w:t>
      </w:r>
      <w:r>
        <w:t xml:space="preserve">-</w:t>
      </w:r>
      <w:r>
        <w:t xml:space="preserve"> </w:t>
      </w:r>
      <w:r>
        <w:t xml:space="preserve">Sudan</w:t>
      </w:r>
      <w:r>
        <w:t xml:space="preserve"> </w:t>
      </w:r>
      <w:r>
        <w:t xml:space="preserve">Khartoum</w:t>
      </w:r>
    </w:p>
    <w:bookmarkStart w:id="20" w:name="Xf4f26e0cf537dee32677251a576f5884b45a643"/>
    <w:p>
      <w:pPr>
        <w:pStyle w:val="Heading1"/>
      </w:pPr>
      <w:r>
        <w:t xml:space="preserve">Nile Valley Educational Services &amp; Consulting Ltd.</w:t>
      </w:r>
    </w:p>
    <w:p>
      <w:pPr>
        <w:pStyle w:val="FirstParagraph"/>
      </w:pPr>
      <w:r>
        <w:t xml:space="preserve">Office 14, Al-Muraj Building, Al-Riyad Street, Khartoum, Sudan</w:t>
      </w:r>
    </w:p>
    <w:p>
      <w:pPr>
        <w:pStyle w:val="BodyText"/>
      </w:pPr>
      <w:r>
        <w:t xml:space="preserve">Tel: +249-183-555-012 | Email: info@nilevalleyedu.sd | Reg. No: SD-KRT-2019-4472</w:t>
      </w:r>
    </w:p>
    <w:bookmarkEnd w:id="20"/>
    <w:p>
      <w:pPr>
        <w:pStyle w:val="BodyText"/>
      </w:pPr>
      <w:r>
        <w:t xml:space="preserve">Quotation Estimate</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No.</w:t>
            </w:r>
          </w:p>
        </w:tc>
        <w:tc>
          <w:tcPr/>
          <w:p>
            <w:pPr>
              <w:pStyle w:val="Compact"/>
              <w:jc w:val="left"/>
            </w:pPr>
            <w:r>
              <w:t xml:space="preserve">QTE-2025-KRT-0387</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Calendar Days</w:t>
            </w:r>
          </w:p>
        </w:tc>
        <w:tc>
          <w:tcPr/>
          <w:p>
            <w:pPr>
              <w:pStyle w:val="Compact"/>
              <w:jc w:val="left"/>
            </w:pPr>
            <w:r>
              <w:t xml:space="preserve">Currency</w:t>
            </w:r>
          </w:p>
        </w:tc>
        <w:tc>
          <w:tcPr/>
          <w:p>
            <w:pPr>
              <w:pStyle w:val="Compact"/>
              <w:jc w:val="left"/>
            </w:pPr>
            <w:r>
              <w:t xml:space="preserve">USD (United States Dollar)</w:t>
            </w:r>
          </w:p>
        </w:tc>
      </w:tr>
      <w:tr>
        <w:tc>
          <w:tcPr/>
          <w:p>
            <w:pPr>
              <w:pStyle w:val="Compact"/>
              <w:jc w:val="left"/>
            </w:pPr>
            <w:r>
              <w:t xml:space="preserve">Prepared For</w:t>
            </w:r>
          </w:p>
        </w:tc>
        <w:tc>
          <w:tcPr/>
          <w:p>
            <w:pPr>
              <w:pStyle w:val="Compact"/>
              <w:jc w:val="left"/>
            </w:pPr>
            <w:r>
              <w:t xml:space="preserve">Ministry of Higher Education – Khartoum Regional Office</w:t>
            </w:r>
          </w:p>
        </w:tc>
        <w:tc>
          <w:tcPr/>
          <w:p>
            <w:pPr>
              <w:pStyle w:val="Compact"/>
              <w:jc w:val="left"/>
            </w:pPr>
            <w:r>
              <w:t xml:space="preserve">Prepared By</w:t>
            </w:r>
          </w:p>
        </w:tc>
        <w:tc>
          <w:tcPr/>
          <w:p>
            <w:pPr>
              <w:pStyle w:val="Compact"/>
              <w:jc w:val="left"/>
            </w:pPr>
            <w:r>
              <w:t xml:space="preserve">Nile Valley Educational Services &amp; Consulting Ltd.</w:t>
            </w:r>
          </w:p>
        </w:tc>
      </w:tr>
    </w:tbl>
    <w:p>
      <w:pPr>
        <w:pStyle w:val="BodyText"/>
      </w:pPr>
      <w:r>
        <w:t xml:space="preserve">1. Purpose of This Quotation Estimate</w:t>
      </w:r>
    </w:p>
    <w:p>
      <w:pPr>
        <w:pStyle w:val="BodyText"/>
      </w:pPr>
      <w:r>
        <w:t xml:space="preserve">This</w:t>
      </w:r>
      <w:r>
        <w:t xml:space="preserve"> </w:t>
      </w:r>
      <w:r>
        <w:t xml:space="preserve">Quotation Estimate</w:t>
      </w:r>
      <w:r>
        <w:t xml:space="preserve"> </w:t>
      </w:r>
      <w:r>
        <w:t xml:space="preserve">is formally issued by Nile Valley Educational Services &amp; Consulting Ltd. to provide a comprehensive and itemized financial breakdown for the recruitment, onboarding, and ongoing professional engagement of a qualified</w:t>
      </w:r>
      <w:r>
        <w:t xml:space="preserve"> </w:t>
      </w:r>
      <w:r>
        <w:t xml:space="preserve">Education Administrator</w:t>
      </w:r>
      <w:r>
        <w:t xml:space="preserve"> </w:t>
      </w:r>
      <w:r>
        <w:t xml:space="preserve">to be stationed and operational within</w:t>
      </w:r>
      <w:r>
        <w:t xml:space="preserve"> </w:t>
      </w:r>
      <w:r>
        <w:t xml:space="preserve">Sudan Khartoum</w:t>
      </w:r>
      <w:r>
        <w:t xml:space="preserve">. This document serves as the official cost proposal for the client's review, internal approval, and subsequent contractual commitment. All figures presented herein reflect current market rates applicable to the</w:t>
      </w:r>
      <w:r>
        <w:t xml:space="preserve"> </w:t>
      </w:r>
      <w:r>
        <w:t xml:space="preserve">Sudan Khartoum</w:t>
      </w:r>
      <w:r>
        <w:t xml:space="preserve"> </w:t>
      </w:r>
      <w:r>
        <w:t xml:space="preserve">educational sector as of the date of issue.</w:t>
      </w:r>
    </w:p>
    <w:p>
      <w:pPr>
        <w:pStyle w:val="BodyText"/>
      </w:pPr>
      <w:r>
        <w:t xml:space="preserve">2. Scope of Services – Education Administrator Role</w:t>
      </w:r>
    </w:p>
    <w:p>
      <w:pPr>
        <w:pStyle w:val="BodyText"/>
      </w:pPr>
      <w:r>
        <w:t xml:space="preserve">The</w:t>
      </w:r>
      <w:r>
        <w:t xml:space="preserve"> </w:t>
      </w:r>
      <w:r>
        <w:t xml:space="preserve">Education Administrator</w:t>
      </w:r>
      <w:r>
        <w:t xml:space="preserve"> </w:t>
      </w:r>
      <w:r>
        <w:t xml:space="preserve">engaged under this</w:t>
      </w:r>
      <w:r>
        <w:t xml:space="preserve"> </w:t>
      </w:r>
      <w:r>
        <w:t xml:space="preserve">Quotation Estimate</w:t>
      </w:r>
      <w:r>
        <w:t xml:space="preserve"> </w:t>
      </w:r>
      <w:r>
        <w:t xml:space="preserve">shall be responsible for the full spectrum of administrative, operational, and strategic management functions within the client's educational institution located in</w:t>
      </w:r>
      <w:r>
        <w:t xml:space="preserve"> </w:t>
      </w:r>
      <w:r>
        <w:t xml:space="preserve">Sudan Khartoum</w:t>
      </w:r>
      <w:r>
        <w:t xml:space="preserve">. The scope of duties includes, but is not limited to:</w:t>
      </w:r>
    </w:p>
    <w:p>
      <w:pPr>
        <w:numPr>
          <w:ilvl w:val="0"/>
          <w:numId w:val="1001"/>
        </w:numPr>
        <w:pStyle w:val="Compact"/>
      </w:pPr>
      <w:r>
        <w:t xml:space="preserve">Day-to-day management of academic and non-academic departments within the</w:t>
      </w:r>
      <w:r>
        <w:t xml:space="preserve"> </w:t>
      </w:r>
      <w:r>
        <w:t xml:space="preserve">Sudan Khartoum</w:t>
      </w:r>
      <w:r>
        <w:t xml:space="preserve"> </w:t>
      </w:r>
      <w:r>
        <w:t xml:space="preserve">campus facility.</w:t>
      </w:r>
    </w:p>
    <w:p>
      <w:pPr>
        <w:numPr>
          <w:ilvl w:val="0"/>
          <w:numId w:val="1001"/>
        </w:numPr>
        <w:pStyle w:val="Compact"/>
      </w:pPr>
      <w:r>
        <w:t xml:space="preserve">Coordination of faculty scheduling, curriculum implementation oversight, and student enrollment processes.</w:t>
      </w:r>
    </w:p>
    <w:p>
      <w:pPr>
        <w:numPr>
          <w:ilvl w:val="0"/>
          <w:numId w:val="1001"/>
        </w:numPr>
        <w:pStyle w:val="Compact"/>
      </w:pPr>
      <w:r>
        <w:t xml:space="preserve">Preparation and submission of regulatory reports to the Sudanese Ministry of Higher Education and relevant local authorities in Khartoum.</w:t>
      </w:r>
    </w:p>
    <w:p>
      <w:pPr>
        <w:numPr>
          <w:ilvl w:val="0"/>
          <w:numId w:val="1001"/>
        </w:numPr>
        <w:pStyle w:val="Compact"/>
      </w:pPr>
      <w:r>
        <w:t xml:space="preserve">Budget planning, financial record-keeping, and resource allocation for the academic year.</w:t>
      </w:r>
    </w:p>
    <w:p>
      <w:pPr>
        <w:numPr>
          <w:ilvl w:val="0"/>
          <w:numId w:val="1001"/>
        </w:numPr>
        <w:pStyle w:val="Compact"/>
      </w:pPr>
      <w:r>
        <w:t xml:space="preserve">Supervision of support staff including registrars, librarians, IT personnel, and facilities management teams.</w:t>
      </w:r>
    </w:p>
    <w:p>
      <w:pPr>
        <w:numPr>
          <w:ilvl w:val="0"/>
          <w:numId w:val="1001"/>
        </w:numPr>
        <w:pStyle w:val="Compact"/>
      </w:pPr>
      <w:r>
        <w:t xml:space="preserve">Organization of academic conferences, accreditation audits, and community engagement events in</w:t>
      </w:r>
      <w:r>
        <w:t xml:space="preserve"> </w:t>
      </w:r>
      <w:r>
        <w:t xml:space="preserve">Sudan Khartoum</w:t>
      </w:r>
      <w:r>
        <w:t xml:space="preserve">.</w:t>
      </w:r>
    </w:p>
    <w:p>
      <w:pPr>
        <w:numPr>
          <w:ilvl w:val="0"/>
          <w:numId w:val="1001"/>
        </w:numPr>
        <w:pStyle w:val="Compact"/>
      </w:pPr>
      <w:r>
        <w:t xml:space="preserve">Implementation of quality assurance frameworks aligned with national and international educational standards.</w:t>
      </w:r>
    </w:p>
    <w:p>
      <w:pPr>
        <w:pStyle w:val="FirstParagraph"/>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 Cost (USD)</w:t>
            </w:r>
          </w:p>
        </w:tc>
        <w:tc>
          <w:tcPr/>
          <w:p>
            <w:pPr>
              <w:pStyle w:val="Compact"/>
              <w:jc w:val="left"/>
            </w:pPr>
            <w:r>
              <w:t xml:space="preserve">Total (USD)</w:t>
            </w:r>
          </w:p>
        </w:tc>
      </w:tr>
      <w:tr>
        <w:tc>
          <w:tcPr/>
          <w:p>
            <w:pPr>
              <w:pStyle w:val="Compact"/>
              <w:jc w:val="left"/>
            </w:pPr>
            <w:r>
              <w:t xml:space="preserve">1</w:t>
            </w:r>
          </w:p>
        </w:tc>
        <w:tc>
          <w:tcPr/>
          <w:p>
            <w:pPr>
              <w:pStyle w:val="Compact"/>
              <w:jc w:val="left"/>
            </w:pPr>
            <w:r>
              <w:t xml:space="preserve">Recruitment, screening, and vetting of the</w:t>
            </w:r>
            <w:r>
              <w:t xml:space="preserve"> </w:t>
            </w:r>
            <w:r>
              <w:t xml:space="preserve">Education Administrator</w:t>
            </w:r>
            <w:r>
              <w:t xml:space="preserve"> </w:t>
            </w:r>
            <w:r>
              <w:t xml:space="preserve">candidate (including background checks, reference verification, and competency assessment)</w:t>
            </w:r>
          </w:p>
        </w:tc>
        <w:tc>
          <w:tcPr/>
          <w:p>
            <w:pPr>
              <w:pStyle w:val="Compact"/>
              <w:jc w:val="left"/>
            </w:pPr>
            <w:r>
              <w:t xml:space="preserve">1 Position</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2</w:t>
            </w:r>
          </w:p>
        </w:tc>
        <w:tc>
          <w:tcPr/>
          <w:p>
            <w:pPr>
              <w:pStyle w:val="Compact"/>
              <w:jc w:val="left"/>
            </w:pPr>
            <w:r>
              <w:t xml:space="preserve">Onboarding and orientation program tailored to the</w:t>
            </w:r>
            <w:r>
              <w:t xml:space="preserve"> </w:t>
            </w:r>
            <w:r>
              <w:t xml:space="preserve">Sudan Khartoum</w:t>
            </w:r>
            <w:r>
              <w:t xml:space="preserve"> </w:t>
            </w:r>
            <w:r>
              <w:t xml:space="preserve">educational regulatory environment (4-week structured program)</w:t>
            </w:r>
          </w:p>
        </w:tc>
        <w:tc>
          <w:tcPr/>
          <w:p>
            <w:pPr>
              <w:pStyle w:val="Compact"/>
              <w:jc w:val="left"/>
            </w:pPr>
            <w:r>
              <w:t xml:space="preserve">1 Program</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3</w:t>
            </w:r>
          </w:p>
        </w:tc>
        <w:tc>
          <w:tcPr/>
          <w:p>
            <w:pPr>
              <w:pStyle w:val="Compact"/>
              <w:jc w:val="left"/>
            </w:pPr>
            <w:r>
              <w:t xml:space="preserve">Monthly professional salary for the</w:t>
            </w:r>
            <w:r>
              <w:t xml:space="preserve"> </w:t>
            </w:r>
            <w:r>
              <w:t xml:space="preserve">Education Administrator</w:t>
            </w:r>
            <w:r>
              <w:t xml:space="preserve"> </w:t>
            </w:r>
            <w:r>
              <w:t xml:space="preserve">(12-month contract, inclusive of local statutory deductions)</w:t>
            </w:r>
          </w:p>
        </w:tc>
        <w:tc>
          <w:tcPr/>
          <w:p>
            <w:pPr>
              <w:pStyle w:val="Compact"/>
              <w:jc w:val="left"/>
            </w:pPr>
            <w:r>
              <w:t xml:space="preserve">12 Months</w:t>
            </w:r>
          </w:p>
        </w:tc>
        <w:tc>
          <w:tcPr/>
          <w:p>
            <w:pPr>
              <w:pStyle w:val="Compact"/>
              <w:jc w:val="left"/>
            </w:pPr>
            <w:r>
              <w:t xml:space="preserve">3,200.00</w:t>
            </w:r>
          </w:p>
        </w:tc>
        <w:tc>
          <w:tcPr/>
          <w:p>
            <w:pPr>
              <w:pStyle w:val="Compact"/>
              <w:jc w:val="left"/>
            </w:pPr>
            <w:r>
              <w:t xml:space="preserve">38,400.00</w:t>
            </w:r>
          </w:p>
        </w:tc>
      </w:tr>
      <w:tr>
        <w:tc>
          <w:tcPr/>
          <w:p>
            <w:pPr>
              <w:pStyle w:val="Compact"/>
              <w:jc w:val="left"/>
            </w:pPr>
            <w:r>
              <w:t xml:space="preserve">4</w:t>
            </w:r>
          </w:p>
        </w:tc>
        <w:tc>
          <w:tcPr/>
          <w:p>
            <w:pPr>
              <w:pStyle w:val="Compact"/>
              <w:jc w:val="left"/>
            </w:pPr>
            <w:r>
              <w:t xml:space="preserve">Annual professional development and continuing education allowance for the</w:t>
            </w:r>
            <w:r>
              <w:t xml:space="preserve"> </w:t>
            </w:r>
            <w:r>
              <w:t xml:space="preserve">Education Administrator</w:t>
            </w:r>
          </w:p>
        </w:tc>
        <w:tc>
          <w:tcPr/>
          <w:p>
            <w:pPr>
              <w:pStyle w:val="Compact"/>
              <w:jc w:val="left"/>
            </w:pPr>
            <w:r>
              <w:t xml:space="preserve">1 Year</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5</w:t>
            </w:r>
          </w:p>
        </w:tc>
        <w:tc>
          <w:tcPr/>
          <w:p>
            <w:pPr>
              <w:pStyle w:val="Compact"/>
              <w:jc w:val="left"/>
            </w:pPr>
            <w:r>
              <w:t xml:space="preserve">Office equipment, workstation setup, and IT infrastructure allocation for the</w:t>
            </w:r>
            <w:r>
              <w:t xml:space="preserve"> </w:t>
            </w:r>
            <w:r>
              <w:t xml:space="preserve">Education Administrator</w:t>
            </w:r>
            <w:r>
              <w:t xml:space="preserve"> </w:t>
            </w:r>
            <w:r>
              <w:t xml:space="preserve">in</w:t>
            </w:r>
            <w:r>
              <w:t xml:space="preserve"> </w:t>
            </w:r>
            <w:r>
              <w:t xml:space="preserve">Sudan Khartoum</w:t>
            </w:r>
          </w:p>
        </w:tc>
        <w:tc>
          <w:tcPr/>
          <w:p>
            <w:pPr>
              <w:pStyle w:val="Compact"/>
              <w:jc w:val="left"/>
            </w:pPr>
            <w:r>
              <w:t xml:space="preserve">1 Set</w:t>
            </w:r>
          </w:p>
        </w:tc>
        <w:tc>
          <w:tcPr/>
          <w:p>
            <w:pPr>
              <w:pStyle w:val="Compact"/>
              <w:jc w:val="left"/>
            </w:pPr>
            <w:r>
              <w:t xml:space="preserve">3,000.00</w:t>
            </w:r>
          </w:p>
        </w:tc>
        <w:tc>
          <w:tcPr/>
          <w:p>
            <w:pPr>
              <w:pStyle w:val="Compact"/>
              <w:jc w:val="left"/>
            </w:pPr>
            <w:r>
              <w:t xml:space="preserve">3,000.00</w:t>
            </w:r>
          </w:p>
        </w:tc>
      </w:tr>
      <w:tr>
        <w:tc>
          <w:tcPr/>
          <w:p>
            <w:pPr>
              <w:pStyle w:val="Compact"/>
              <w:jc w:val="left"/>
            </w:pPr>
            <w:r>
              <w:t xml:space="preserve">6</w:t>
            </w:r>
          </w:p>
        </w:tc>
        <w:tc>
          <w:tcPr/>
          <w:p>
            <w:pPr>
              <w:pStyle w:val="Compact"/>
              <w:jc w:val="left"/>
            </w:pPr>
            <w:r>
              <w:t xml:space="preserve">Monthly administrative support staff (1 assistant, 1 secretary) to assist the</w:t>
            </w:r>
            <w:r>
              <w:t xml:space="preserve"> </w:t>
            </w:r>
            <w:r>
              <w:t xml:space="preserve">Education Administrator</w:t>
            </w:r>
          </w:p>
        </w:tc>
        <w:tc>
          <w:tcPr/>
          <w:p>
            <w:pPr>
              <w:pStyle w:val="Compact"/>
              <w:jc w:val="left"/>
            </w:pPr>
            <w:r>
              <w:t xml:space="preserve">12 Months</w:t>
            </w:r>
          </w:p>
        </w:tc>
        <w:tc>
          <w:tcPr/>
          <w:p>
            <w:pPr>
              <w:pStyle w:val="Compact"/>
              <w:jc w:val="left"/>
            </w:pPr>
            <w:r>
              <w:t xml:space="preserve">950.00</w:t>
            </w:r>
          </w:p>
        </w:tc>
        <w:tc>
          <w:tcPr/>
          <w:p>
            <w:pPr>
              <w:pStyle w:val="Compact"/>
              <w:jc w:val="left"/>
            </w:pPr>
            <w:r>
              <w:t xml:space="preserve">11,400.00</w:t>
            </w:r>
          </w:p>
        </w:tc>
      </w:tr>
      <w:tr>
        <w:tc>
          <w:tcPr/>
          <w:p>
            <w:pPr>
              <w:pStyle w:val="Compact"/>
              <w:jc w:val="left"/>
            </w:pPr>
            <w:r>
              <w:t xml:space="preserve">7</w:t>
            </w:r>
          </w:p>
        </w:tc>
        <w:tc>
          <w:tcPr/>
          <w:p>
            <w:pPr>
              <w:pStyle w:val="Compact"/>
              <w:jc w:val="left"/>
            </w:pPr>
            <w:r>
              <w:t xml:space="preserve">Compliance, licensing, and regulatory registration fees for the</w:t>
            </w:r>
            <w:r>
              <w:t xml:space="preserve"> </w:t>
            </w:r>
            <w:r>
              <w:t xml:space="preserve">Education Administrator</w:t>
            </w:r>
            <w:r>
              <w:t xml:space="preserve"> </w:t>
            </w:r>
            <w:r>
              <w:t xml:space="preserve">role in</w:t>
            </w:r>
            <w:r>
              <w:t xml:space="preserve"> </w:t>
            </w:r>
            <w:r>
              <w:t xml:space="preserve">Sudan Khartoum</w:t>
            </w:r>
          </w:p>
        </w:tc>
        <w:tc>
          <w:tcPr/>
          <w:p>
            <w:pPr>
              <w:pStyle w:val="Compact"/>
              <w:jc w:val="left"/>
            </w:pPr>
            <w:r>
              <w:t xml:space="preserve">1 Year</w:t>
            </w:r>
          </w:p>
        </w:tc>
        <w:tc>
          <w:tcPr/>
          <w:p>
            <w:pPr>
              <w:pStyle w:val="Compact"/>
              <w:jc w:val="left"/>
            </w:pPr>
            <w:r>
              <w:t xml:space="preserve">800.00</w:t>
            </w:r>
          </w:p>
        </w:tc>
        <w:tc>
          <w:tcPr/>
          <w:p>
            <w:pPr>
              <w:pStyle w:val="Compact"/>
              <w:jc w:val="left"/>
            </w:pPr>
            <w:r>
              <w:t xml:space="preserve">800.00</w:t>
            </w:r>
          </w:p>
        </w:tc>
      </w:tr>
      <w:tr>
        <w:tc>
          <w:tcPr/>
          <w:p>
            <w:pPr>
              <w:pStyle w:val="Compact"/>
              <w:jc w:val="left"/>
            </w:pPr>
            <w:r>
              <w:t xml:space="preserve">8</w:t>
            </w:r>
          </w:p>
        </w:tc>
        <w:tc>
          <w:tcPr/>
          <w:p>
            <w:pPr>
              <w:pStyle w:val="Compact"/>
              <w:jc w:val="left"/>
            </w:pPr>
            <w:r>
              <w:t xml:space="preserve">Health insurance and occupational safety coverage for the</w:t>
            </w:r>
            <w:r>
              <w:t xml:space="preserve"> </w:t>
            </w:r>
            <w:r>
              <w:t xml:space="preserve">Education Administrator</w:t>
            </w:r>
            <w:r>
              <w:t xml:space="preserve"> </w:t>
            </w:r>
            <w:r>
              <w:t xml:space="preserve">and support staff</w:t>
            </w:r>
          </w:p>
        </w:tc>
        <w:tc>
          <w:tcPr/>
          <w:p>
            <w:pPr>
              <w:pStyle w:val="Compact"/>
              <w:jc w:val="left"/>
            </w:pPr>
            <w:r>
              <w:t xml:space="preserve">12 Months</w:t>
            </w:r>
          </w:p>
        </w:tc>
        <w:tc>
          <w:tcPr/>
          <w:p>
            <w:pPr>
              <w:pStyle w:val="Compact"/>
              <w:jc w:val="left"/>
            </w:pPr>
            <w:r>
              <w:t xml:space="preserve">1,200.00</w:t>
            </w:r>
          </w:p>
        </w:tc>
        <w:tc>
          <w:tcPr/>
          <w:p>
            <w:pPr>
              <w:pStyle w:val="Compact"/>
              <w:jc w:val="left"/>
            </w:pPr>
            <w:r>
              <w:t xml:space="preserve">14,400.00</w:t>
            </w:r>
          </w:p>
        </w:tc>
      </w:tr>
      <w:tr>
        <w:tc>
          <w:tcPr/>
          <w:p>
            <w:pPr>
              <w:pStyle w:val="Compact"/>
              <w:jc w:val="left"/>
            </w:pPr>
            <w:r>
              <w:t xml:space="preserve">9</w:t>
            </w:r>
          </w:p>
        </w:tc>
        <w:tc>
          <w:tcPr/>
          <w:p>
            <w:pPr>
              <w:pStyle w:val="Compact"/>
              <w:jc w:val="left"/>
            </w:pPr>
            <w:r>
              <w:t xml:space="preserve">Project management and oversight fee (Nile Valley Educational Services &amp; Consulting Ltd.)</w:t>
            </w:r>
          </w:p>
        </w:tc>
        <w:tc>
          <w:tcPr/>
          <w:p>
            <w:pPr>
              <w:pStyle w:val="Compact"/>
              <w:jc w:val="left"/>
            </w:pPr>
            <w:r>
              <w:t xml:space="preserve">12 Months</w:t>
            </w:r>
          </w:p>
        </w:tc>
        <w:tc>
          <w:tcPr/>
          <w:p>
            <w:pPr>
              <w:pStyle w:val="Compact"/>
              <w:jc w:val="left"/>
            </w:pPr>
            <w:r>
              <w:t xml:space="preserve">1,000.00</w:t>
            </w:r>
          </w:p>
        </w:tc>
        <w:tc>
          <w:tcPr/>
          <w:p>
            <w:pPr>
              <w:pStyle w:val="Compact"/>
              <w:jc w:val="left"/>
            </w:pPr>
            <w:r>
              <w:t xml:space="preserve">12,000.00</w:t>
            </w:r>
          </w:p>
        </w:tc>
      </w:tr>
      <w:tr>
        <w:tc>
          <w:tcPr/>
          <w:p>
            <w:pPr>
              <w:pStyle w:val="Compact"/>
              <w:jc w:val="left"/>
            </w:pPr>
            <w:r>
              <w:t xml:space="preserve">10</w:t>
            </w:r>
          </w:p>
        </w:tc>
        <w:tc>
          <w:tcPr/>
          <w:p>
            <w:pPr>
              <w:pStyle w:val="Compact"/>
              <w:jc w:val="left"/>
            </w:pPr>
            <w:r>
              <w:t xml:space="preserve">Contingency and miscellaneous operational expenses (5% of subtotal)</w:t>
            </w:r>
          </w:p>
        </w:tc>
        <w:tc>
          <w:tcPr/>
          <w:p>
            <w:pPr>
              <w:pStyle w:val="Compact"/>
              <w:jc w:val="left"/>
            </w:pPr>
            <w:r>
              <w:t xml:space="preserve">1 Lot</w:t>
            </w:r>
          </w:p>
        </w:tc>
        <w:tc>
          <w:tcPr/>
          <w:p>
            <w:pPr>
              <w:pStyle w:val="Compact"/>
              <w:jc w:val="left"/>
            </w:pPr>
            <w:r>
              <w:t xml:space="preserve">—</w:t>
            </w:r>
          </w:p>
        </w:tc>
        <w:tc>
          <w:tcPr/>
          <w:p>
            <w:pPr>
              <w:pStyle w:val="Compact"/>
              <w:jc w:val="left"/>
            </w:pPr>
            <w:r>
              <w:t xml:space="preserve">4,480.00</w:t>
            </w:r>
          </w:p>
        </w:tc>
      </w:tr>
      <w:tr>
        <w:tc>
          <w:tcPr>
            <w:gridSpan w:val="4"/>
          </w:tcPr>
          <w:p>
            <w:pPr>
              <w:pStyle w:val="Compact"/>
              <w:jc w:val="right"/>
            </w:pPr>
            <w:r>
              <w:t xml:space="preserve">GRAND TOTAL (USD)</w:t>
            </w:r>
          </w:p>
        </w:tc>
        <w:tc>
          <w:tcPr/>
          <w:p>
            <w:pPr>
              <w:pStyle w:val="Compact"/>
              <w:jc w:val="left"/>
            </w:pPr>
            <w:r>
              <w:t xml:space="preserve">91,280.00</w:t>
            </w:r>
          </w:p>
        </w:tc>
      </w:tr>
    </w:tbl>
    <w:p>
      <w:pPr>
        <w:pStyle w:val="BodyText"/>
      </w:pPr>
      <w:r>
        <w:t xml:space="preserve">4. Payment Schedule</w:t>
      </w:r>
    </w:p>
    <w:p>
      <w:pPr>
        <w:pStyle w:val="BodyText"/>
      </w:pPr>
      <w:r>
        <w:t xml:space="preserve">Payment for the services outlined in this</w:t>
      </w:r>
      <w:r>
        <w:t xml:space="preserve"> </w:t>
      </w:r>
      <w:r>
        <w:t xml:space="preserve">Quotation Estimate</w:t>
      </w:r>
      <w:r>
        <w:t xml:space="preserve"> </w:t>
      </w:r>
      <w:r>
        <w:t xml:space="preserve">shall be made in accordance with the following schedule, all amounts payable in USD via bank transfer to the account of Nile Valley Educational Services &amp; Consulting Ltd.:</w:t>
      </w:r>
    </w:p>
    <w:p>
      <w:pPr>
        <w:numPr>
          <w:ilvl w:val="0"/>
          <w:numId w:val="1002"/>
        </w:numPr>
        <w:pStyle w:val="Compact"/>
      </w:pPr>
      <w:r>
        <w:rPr>
          <w:bCs/>
          <w:b/>
        </w:rPr>
        <w:t xml:space="preserve">Advance Payment (30%):</w:t>
      </w:r>
      <w:r>
        <w:t xml:space="preserve"> </w:t>
      </w:r>
      <w:r>
        <w:t xml:space="preserve">USD 27,384.00 – Due upon signed acceptance of this</w:t>
      </w:r>
      <w:r>
        <w:t xml:space="preserve"> </w:t>
      </w:r>
      <w:r>
        <w:t xml:space="preserve">Quotation Estimate</w:t>
      </w:r>
      <w:r>
        <w:t xml:space="preserve"> </w:t>
      </w:r>
      <w:r>
        <w:t xml:space="preserve">and execution of the service agreement.</w:t>
      </w:r>
    </w:p>
    <w:p>
      <w:pPr>
        <w:numPr>
          <w:ilvl w:val="0"/>
          <w:numId w:val="1002"/>
        </w:numPr>
        <w:pStyle w:val="Compact"/>
      </w:pPr>
      <w:r>
        <w:rPr>
          <w:bCs/>
          <w:b/>
        </w:rPr>
        <w:t xml:space="preserve">Mid-Term Payment (40%):</w:t>
      </w:r>
      <w:r>
        <w:t xml:space="preserve"> </w:t>
      </w:r>
      <w:r>
        <w:t xml:space="preserve">USD 36,512.00 – Due at the completion of Month 6 of the</w:t>
      </w:r>
      <w:r>
        <w:t xml:space="preserve"> </w:t>
      </w:r>
      <w:r>
        <w:t xml:space="preserve">Education Administrator</w:t>
      </w:r>
      <w:r>
        <w:t xml:space="preserve">'s engagement period.</w:t>
      </w:r>
    </w:p>
    <w:p>
      <w:pPr>
        <w:numPr>
          <w:ilvl w:val="0"/>
          <w:numId w:val="1002"/>
        </w:numPr>
        <w:pStyle w:val="Compact"/>
      </w:pPr>
      <w:r>
        <w:rPr>
          <w:bCs/>
          <w:b/>
        </w:rPr>
        <w:t xml:space="preserve">Final Payment (30%):</w:t>
      </w:r>
      <w:r>
        <w:t xml:space="preserve"> </w:t>
      </w:r>
      <w:r>
        <w:t xml:space="preserve">USD 27,384.00 – Due at the conclusion of Month 12, subject to satisfactory performance review and final deliverable acceptance.</w:t>
      </w:r>
    </w:p>
    <w:p>
      <w:pPr>
        <w:pStyle w:val="FirstParagraph"/>
      </w:pPr>
      <w:r>
        <w:t xml:space="preserve">5. Terms and Conditions</w:t>
      </w:r>
    </w:p>
    <w:p>
      <w:pPr>
        <w:numPr>
          <w:ilvl w:val="0"/>
          <w:numId w:val="1003"/>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all rates and terms are subject to revision based on prevailing economic conditions in</w:t>
      </w:r>
      <w:r>
        <w:t xml:space="preserve"> </w:t>
      </w:r>
      <w:r>
        <w:t xml:space="preserve">Sudan Khartoum</w:t>
      </w:r>
      <w:r>
        <w:t xml:space="preserve">.</w:t>
      </w:r>
    </w:p>
    <w:p>
      <w:pPr>
        <w:numPr>
          <w:ilvl w:val="0"/>
          <w:numId w:val="1003"/>
        </w:numPr>
        <w:pStyle w:val="Compact"/>
      </w:pPr>
      <w:r>
        <w:t xml:space="preserve">All costs are quoted in United States Dollars (USD). Any applicable local taxes, levies, or regulatory surcharges imposed by the Government of Sudan or Khartoum State authorities shall be borne by the client in addition to the amounts stated herein.</w:t>
      </w:r>
    </w:p>
    <w:p>
      <w:pPr>
        <w:numPr>
          <w:ilvl w:val="0"/>
          <w:numId w:val="1003"/>
        </w:numPr>
        <w:pStyle w:val="Compact"/>
      </w:pPr>
      <w:r>
        <w:t xml:space="preserve">The</w:t>
      </w:r>
      <w:r>
        <w:t xml:space="preserve"> </w:t>
      </w:r>
      <w:r>
        <w:t xml:space="preserve">Education Administrator</w:t>
      </w:r>
      <w:r>
        <w:t xml:space="preserve"> </w:t>
      </w:r>
      <w:r>
        <w:t xml:space="preserve">shall be required to maintain a minimum of 90% attendance at the designated workplace in</w:t>
      </w:r>
      <w:r>
        <w:t xml:space="preserve"> </w:t>
      </w:r>
      <w:r>
        <w:t xml:space="preserve">Sudan Khartoum</w:t>
      </w:r>
      <w:r>
        <w:t xml:space="preserve"> </w:t>
      </w:r>
      <w:r>
        <w:t xml:space="preserve">throughout the contract period.</w:t>
      </w:r>
    </w:p>
    <w:p>
      <w:pPr>
        <w:numPr>
          <w:ilvl w:val="0"/>
          <w:numId w:val="1003"/>
        </w:numPr>
        <w:pStyle w:val="Compact"/>
      </w:pPr>
      <w:r>
        <w:t xml:space="preserve">Either party may terminate the engagement with a written notice of sixty (60) days. In the event of early termination, a pro-rata adjustment to the remaining payment obligations shall apply.</w:t>
      </w:r>
    </w:p>
    <w:p>
      <w:pPr>
        <w:numPr>
          <w:ilvl w:val="0"/>
          <w:numId w:val="1003"/>
        </w:numPr>
        <w:pStyle w:val="Compact"/>
      </w:pPr>
      <w:r>
        <w:t xml:space="preserve">Nile Valley Educational Services &amp; Consulting Ltd. shall not be held liable for delays or disruptions caused by force majeure events, including but not limited to civil unrest, natural disasters, or government-imposed restrictions within</w:t>
      </w:r>
      <w:r>
        <w:t xml:space="preserve"> </w:t>
      </w:r>
      <w:r>
        <w:t xml:space="preserve">Sudan Khartoum</w:t>
      </w:r>
      <w:r>
        <w:t xml:space="preserve">.</w:t>
      </w:r>
    </w:p>
    <w:p>
      <w:pPr>
        <w:numPr>
          <w:ilvl w:val="0"/>
          <w:numId w:val="1003"/>
        </w:numPr>
        <w:pStyle w:val="Compact"/>
      </w:pPr>
      <w:r>
        <w:t xml:space="preserve">All intellectual property, reports, and documentation produced by the</w:t>
      </w:r>
      <w:r>
        <w:t xml:space="preserve"> </w:t>
      </w:r>
      <w:r>
        <w:t xml:space="preserve">Education Administrator</w:t>
      </w:r>
      <w:r>
        <w:t xml:space="preserve"> </w:t>
      </w:r>
      <w:r>
        <w:t xml:space="preserve">during the term of this engagement shall remain the property of the client.</w:t>
      </w:r>
    </w:p>
    <w:p>
      <w:pPr>
        <w:numPr>
          <w:ilvl w:val="0"/>
          <w:numId w:val="1003"/>
        </w:numPr>
        <w:pStyle w:val="Compact"/>
      </w:pPr>
      <w:r>
        <w:t xml:space="preserve">Disputes arising from this</w:t>
      </w:r>
      <w:r>
        <w:t xml:space="preserve"> </w:t>
      </w:r>
      <w:r>
        <w:t xml:space="preserve">Quotation Estimate</w:t>
      </w:r>
      <w:r>
        <w:t xml:space="preserve"> </w:t>
      </w:r>
      <w:r>
        <w:t xml:space="preserve">or the resulting contract shall be resolved through amicable negotiation, failing which, arbitration shall be conducted in Khartoum, Sudan, in accordance with the Sudanese Arbitration Act.</w:t>
      </w:r>
    </w:p>
    <w:p>
      <w:pPr>
        <w:pStyle w:val="FirstParagraph"/>
      </w:pPr>
      <w:r>
        <w:t xml:space="preserve">6. Acceptance and Authorization</w:t>
      </w:r>
    </w:p>
    <w:p>
      <w:pPr>
        <w:pStyle w:val="BodyText"/>
      </w:pPr>
      <w:r>
        <w:t xml:space="preserve">By signing below, the client acknowledges receipt of this</w:t>
      </w:r>
      <w:r>
        <w:t xml:space="preserve"> </w:t>
      </w:r>
      <w:r>
        <w:t xml:space="preserve">Quotation Estimate</w:t>
      </w:r>
      <w:r>
        <w:t xml:space="preserve"> </w:t>
      </w:r>
      <w:r>
        <w:t xml:space="preserve">and agrees to the terms, conditions, and financial obligations set forth herein for the engagement of an</w:t>
      </w:r>
      <w:r>
        <w:t xml:space="preserve"> </w:t>
      </w:r>
      <w:r>
        <w:t xml:space="preserve">Education Administrator</w:t>
      </w:r>
      <w:r>
        <w:t xml:space="preserve"> </w:t>
      </w:r>
      <w:r>
        <w:t xml:space="preserve">in</w:t>
      </w:r>
      <w:r>
        <w:t xml:space="preserve"> </w:t>
      </w:r>
      <w:r>
        <w:t xml:space="preserve">Sudan Khartoum</w:t>
      </w:r>
      <w:r>
        <w:t xml:space="preserve">.</w:t>
      </w:r>
    </w:p>
    <w:p>
      <w:pPr>
        <w:pStyle w:val="BodyText"/>
      </w:pPr>
      <w:r>
        <w:rPr>
          <w:bCs/>
          <w:b/>
        </w:rPr>
        <w:t xml:space="preserve">For and on behalf of the Client:</w:t>
      </w:r>
    </w:p>
    <w:p>
      <w:pPr>
        <w:pStyle w:val="BodyText"/>
      </w:pPr>
      <w:r>
        <w:t xml:space="preserve">Name / Title / Signature / Date</w:t>
      </w:r>
    </w:p>
    <w:p>
      <w:pPr>
        <w:pStyle w:val="BodyText"/>
      </w:pPr>
      <w:r>
        <w:rPr>
          <w:bCs/>
          <w:b/>
        </w:rPr>
        <w:t xml:space="preserve">For and on behalf of Nile Valley Educational Services &amp; Consulting Ltd.:</w:t>
      </w:r>
    </w:p>
    <w:p>
      <w:pPr>
        <w:pStyle w:val="BodyText"/>
      </w:pPr>
      <w:r>
        <w:t xml:space="preserve">Name / Title / Signature / Date</w:t>
      </w:r>
    </w:p>
    <w:p>
      <w:pPr>
        <w:pStyle w:val="BodyText"/>
      </w:pPr>
      <w:r>
        <w:t xml:space="preserve">This Quotation Estimate (Ref: QTE-2025-KRT-0387) was prepared exclusively for the client named above and is not transferable. © 2025 Nile Valley Educational Services &amp; Consulting Ltd., Khartoum, Sudan.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Education Administrator - Sudan Khartoum</dc:title>
  <dc:creator/>
  <dc:language>en</dc:language>
  <cp:keywords/>
  <dcterms:created xsi:type="dcterms:W3CDTF">2026-10-10T09:10:02Z</dcterms:created>
  <dcterms:modified xsi:type="dcterms:W3CDTF">2026-10-10T09:10:02Z</dcterms:modified>
</cp:coreProperties>
</file>

<file path=docProps/custom.xml><?xml version="1.0" encoding="utf-8"?>
<Properties xmlns="http://schemas.openxmlformats.org/officeDocument/2006/custom-properties" xmlns:vt="http://schemas.openxmlformats.org/officeDocument/2006/docPropsVTypes"/>
</file>