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Education Administrator Services</w:t>
      </w:r>
    </w:p>
    <w:p>
      <w:pPr>
        <w:pStyle w:val="BodyText"/>
      </w:pPr>
      <w:r>
        <w:t xml:space="preserve">Thailand Bangkok | Siam Educational Consulting Group Co., Ltd.</w:t>
      </w:r>
    </w:p>
    <w:p>
      <w:pPr>
        <w:pStyle w:val="BodyText"/>
      </w:pPr>
      <w:r>
        <w:t xml:space="preserve">128 Sukhumvit Road, Khlong Toei, Bangkok 10110, Thailand</w:t>
      </w:r>
    </w:p>
    <w:p>
      <w:pPr>
        <w:pStyle w:val="BodyText"/>
      </w:pPr>
      <w:r>
        <w:t xml:space="preserve">Tel: +66-2-255-0148 | Email: quotations@siameduconsulting.co.th</w:t>
      </w:r>
    </w:p>
    <w:bookmarkEnd w:id="20"/>
    <w:p>
      <w:pPr>
        <w:pStyle w:val="BodyText"/>
      </w:pPr>
      <w:r>
        <w:rPr>
          <w:bCs/>
          <w:b/>
        </w:rPr>
        <w:t xml:space="preserve">Quotation No.:</w:t>
      </w:r>
      <w:r>
        <w:t xml:space="preserve"> </w:t>
      </w:r>
      <w:r>
        <w:t xml:space="preserve">QTE-2025-BKK-0472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Bangkok International Academy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Siam Educational Consulting Group Co., Ltd. to Bangkok International Academy, located in the heart of</w:t>
      </w:r>
      <w:r>
        <w:t xml:space="preserve"> </w:t>
      </w:r>
      <w:r>
        <w:t xml:space="preserve">Thailand Bangkok</w:t>
      </w:r>
      <w:r>
        <w:t xml:space="preserve">, in response to the institution's request for a comprehensive professional services engagement. The primary objective of this document is to provide a detailed, transparent, and itemized financial estimate for the recruitment, onboarding, and ongoing professional support of a qualified</w:t>
      </w:r>
      <w:r>
        <w:t xml:space="preserve"> </w:t>
      </w:r>
      <w:r>
        <w:t xml:space="preserve">Education Administrator</w:t>
      </w:r>
      <w:r>
        <w:t xml:space="preserve"> </w:t>
      </w:r>
      <w:r>
        <w:t xml:space="preserve">who will manage the academic operations, curriculum coordination, and institutional compliance functions of the academy.</w:t>
      </w:r>
    </w:p>
    <w:p>
      <w:pPr>
        <w:pStyle w:val="BodyText"/>
      </w:pPr>
      <w:r>
        <w:t xml:space="preserve">As an established consultancy operating within the</w:t>
      </w:r>
      <w:r>
        <w:t xml:space="preserve"> </w:t>
      </w:r>
      <w:r>
        <w:t xml:space="preserve">Thailand Bangkok</w:t>
      </w:r>
      <w:r>
        <w:t xml:space="preserve"> </w:t>
      </w:r>
      <w:r>
        <w:t xml:space="preserve">metropolitan area for over twelve years, we understand the unique regulatory, cultural, and operational demands placed upon educational institutions in this region. This</w:t>
      </w:r>
      <w:r>
        <w:t xml:space="preserve"> </w:t>
      </w:r>
      <w:r>
        <w:t xml:space="preserve">Quotation Estimate</w:t>
      </w:r>
      <w:r>
        <w:t xml:space="preserve"> </w:t>
      </w:r>
      <w:r>
        <w:t xml:space="preserve">reflects our deep familiarity with the Office of the Basic Education Commission (OBEC) guidelines, the Ministry of Education's administrative requirements, and the specific expectations of international and bilingual schools operating in Bangkok.</w:t>
      </w:r>
    </w:p>
    <w:bookmarkEnd w:id="21"/>
    <w:bookmarkStart w:id="22" w:name="Xbf8b0a7b7ea255a5696ef13c4853ee0c7fddf9c"/>
    <w:p>
      <w:pPr>
        <w:pStyle w:val="Heading2"/>
      </w:pPr>
      <w:r>
        <w:t xml:space="preserve">2. Scope of Services – Education Administrator Engagement</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will be responsible for the following core functions within the Bangkok International Academy campus:</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Cost (THB)</w:t>
            </w:r>
          </w:p>
        </w:tc>
      </w:tr>
      <w:tr>
        <w:tc>
          <w:tcPr/>
          <w:p>
            <w:pPr>
              <w:pStyle w:val="Compact"/>
              <w:jc w:val="left"/>
            </w:pPr>
            <w:r>
              <w:t xml:space="preserve">SA-01</w:t>
            </w:r>
          </w:p>
        </w:tc>
        <w:tc>
          <w:tcPr/>
          <w:p>
            <w:pPr>
              <w:pStyle w:val="Compact"/>
              <w:jc w:val="left"/>
            </w:pPr>
            <w:r>
              <w:t xml:space="preserve">Recruitment and vetting of a certified Education Administrator with minimum 5 years' experience in Thai and international school administration in Thailand Bangkok</w:t>
            </w:r>
          </w:p>
        </w:tc>
        <w:tc>
          <w:tcPr/>
          <w:p>
            <w:pPr>
              <w:pStyle w:val="Compact"/>
              <w:jc w:val="left"/>
            </w:pPr>
            <w:r>
              <w:t xml:space="preserve">One-time (4–6 weeks)</w:t>
            </w:r>
          </w:p>
        </w:tc>
        <w:tc>
          <w:tcPr/>
          <w:p>
            <w:pPr>
              <w:pStyle w:val="Compact"/>
              <w:jc w:val="left"/>
            </w:pPr>
            <w:r>
              <w:t xml:space="preserve">185,000</w:t>
            </w:r>
          </w:p>
        </w:tc>
      </w:tr>
      <w:tr>
        <w:tc>
          <w:tcPr/>
          <w:p>
            <w:pPr>
              <w:pStyle w:val="Compact"/>
              <w:jc w:val="left"/>
            </w:pPr>
            <w:r>
              <w:t xml:space="preserve">SA-02</w:t>
            </w:r>
          </w:p>
        </w:tc>
        <w:tc>
          <w:tcPr/>
          <w:p>
            <w:pPr>
              <w:pStyle w:val="Compact"/>
              <w:jc w:val="left"/>
            </w:pPr>
            <w:r>
              <w:t xml:space="preserve">Onboarding, work permit, and non-immigrant visa (B visa) processing for the Education Administrator in compliance with Thai labour law</w:t>
            </w:r>
          </w:p>
        </w:tc>
        <w:tc>
          <w:tcPr/>
          <w:p>
            <w:pPr>
              <w:pStyle w:val="Compact"/>
              <w:jc w:val="left"/>
            </w:pPr>
            <w:r>
              <w:t xml:space="preserve">One-time (2–3 weeks)</w:t>
            </w:r>
          </w:p>
        </w:tc>
        <w:tc>
          <w:tcPr/>
          <w:p>
            <w:pPr>
              <w:pStyle w:val="Compact"/>
              <w:jc w:val="left"/>
            </w:pPr>
            <w:r>
              <w:t xml:space="preserve">95,000</w:t>
            </w:r>
          </w:p>
        </w:tc>
      </w:tr>
      <w:tr>
        <w:tc>
          <w:tcPr/>
          <w:p>
            <w:pPr>
              <w:pStyle w:val="Compact"/>
              <w:jc w:val="left"/>
            </w:pPr>
            <w:r>
              <w:t xml:space="preserve">SA-03</w:t>
            </w:r>
          </w:p>
        </w:tc>
        <w:tc>
          <w:tcPr/>
          <w:p>
            <w:pPr>
              <w:pStyle w:val="Compact"/>
              <w:jc w:val="left"/>
            </w:pPr>
            <w:r>
              <w:t xml:space="preserve">Academic calendar development, curriculum mapping, and term scheduling for the Education Administrator to implement across all grade levels</w:t>
            </w:r>
          </w:p>
        </w:tc>
        <w:tc>
          <w:tcPr/>
          <w:p>
            <w:pPr>
              <w:pStyle w:val="Compact"/>
              <w:jc w:val="left"/>
            </w:pPr>
            <w:r>
              <w:t xml:space="preserve">Per academic term (3 months)</w:t>
            </w:r>
          </w:p>
        </w:tc>
        <w:tc>
          <w:tcPr/>
          <w:p>
            <w:pPr>
              <w:pStyle w:val="Compact"/>
              <w:jc w:val="left"/>
            </w:pPr>
            <w:r>
              <w:t xml:space="preserve">120,000</w:t>
            </w:r>
          </w:p>
        </w:tc>
      </w:tr>
      <w:tr>
        <w:tc>
          <w:tcPr/>
          <w:p>
            <w:pPr>
              <w:pStyle w:val="Compact"/>
              <w:jc w:val="left"/>
            </w:pPr>
            <w:r>
              <w:t xml:space="preserve">SA-04</w:t>
            </w:r>
          </w:p>
        </w:tc>
        <w:tc>
          <w:tcPr/>
          <w:p>
            <w:pPr>
              <w:pStyle w:val="Compact"/>
              <w:jc w:val="left"/>
            </w:pPr>
            <w:r>
              <w:t xml:space="preserve">Monthly operational oversight: staff scheduling, classroom resource allocation, and parent-communication protocols managed by the Education Administrator</w:t>
            </w:r>
          </w:p>
        </w:tc>
        <w:tc>
          <w:tcPr/>
          <w:p>
            <w:pPr>
              <w:pStyle w:val="Compact"/>
              <w:jc w:val="left"/>
            </w:pPr>
            <w:r>
              <w:t xml:space="preserve">Monthly (12 months)</w:t>
            </w:r>
          </w:p>
        </w:tc>
        <w:tc>
          <w:tcPr/>
          <w:p>
            <w:pPr>
              <w:pStyle w:val="Compact"/>
              <w:jc w:val="left"/>
            </w:pPr>
            <w:r>
              <w:t xml:space="preserve">85,000 / month</w:t>
            </w:r>
          </w:p>
        </w:tc>
      </w:tr>
      <w:tr>
        <w:tc>
          <w:tcPr/>
          <w:p>
            <w:pPr>
              <w:pStyle w:val="Compact"/>
              <w:jc w:val="left"/>
            </w:pPr>
            <w:r>
              <w:t xml:space="preserve">SA-05</w:t>
            </w:r>
          </w:p>
        </w:tc>
        <w:tc>
          <w:tcPr/>
          <w:p>
            <w:pPr>
              <w:pStyle w:val="Compact"/>
              <w:jc w:val="left"/>
            </w:pPr>
            <w:r>
              <w:t xml:space="preserve">Regulatory compliance audits with OBEC and Bangkok Metropolitan Administration (BMA) education office, coordinated by the Education Administrator</w:t>
            </w:r>
          </w:p>
        </w:tc>
        <w:tc>
          <w:tcPr/>
          <w:p>
            <w:pPr>
              <w:pStyle w:val="Compact"/>
              <w:jc w:val="left"/>
            </w:pPr>
            <w:r>
              <w:t xml:space="preserve">Quarterly (4 times/year)</w:t>
            </w:r>
          </w:p>
        </w:tc>
        <w:tc>
          <w:tcPr/>
          <w:p>
            <w:pPr>
              <w:pStyle w:val="Compact"/>
              <w:jc w:val="left"/>
            </w:pPr>
            <w:r>
              <w:t xml:space="preserve">65,000 / audit</w:t>
            </w:r>
          </w:p>
        </w:tc>
      </w:tr>
      <w:tr>
        <w:tc>
          <w:tcPr/>
          <w:p>
            <w:pPr>
              <w:pStyle w:val="Compact"/>
              <w:jc w:val="left"/>
            </w:pPr>
            <w:r>
              <w:t xml:space="preserve">SA-06</w:t>
            </w:r>
          </w:p>
        </w:tc>
        <w:tc>
          <w:tcPr/>
          <w:p>
            <w:pPr>
              <w:pStyle w:val="Compact"/>
              <w:jc w:val="left"/>
            </w:pPr>
            <w:r>
              <w:t xml:space="preserve">Professional development and continuous training programme for the Education Administrator (Thai education policy updates, leadership workshops in Bangkok)</w:t>
            </w:r>
          </w:p>
        </w:tc>
        <w:tc>
          <w:tcPr/>
          <w:p>
            <w:pPr>
              <w:pStyle w:val="Compact"/>
              <w:jc w:val="left"/>
            </w:pPr>
            <w:r>
              <w:t xml:space="preserve">Bi-annual (2 sessions/year)</w:t>
            </w:r>
          </w:p>
        </w:tc>
        <w:tc>
          <w:tcPr/>
          <w:p>
            <w:pPr>
              <w:pStyle w:val="Compact"/>
              <w:jc w:val="left"/>
            </w:pPr>
            <w:r>
              <w:t xml:space="preserve">48,000 / session</w:t>
            </w:r>
          </w:p>
        </w:tc>
      </w:tr>
      <w:tr>
        <w:tc>
          <w:tcPr/>
          <w:p>
            <w:pPr>
              <w:pStyle w:val="Compact"/>
              <w:jc w:val="left"/>
            </w:pPr>
            <w:r>
              <w:t xml:space="preserve">SA-07</w:t>
            </w:r>
          </w:p>
        </w:tc>
        <w:tc>
          <w:tcPr/>
          <w:p>
            <w:pPr>
              <w:pStyle w:val="Compact"/>
              <w:jc w:val="left"/>
            </w:pPr>
            <w:r>
              <w:t xml:space="preserve">Annual performance review, succession planning, and strategic advisory for the Education Administrator role</w:t>
            </w:r>
          </w:p>
        </w:tc>
        <w:tc>
          <w:tcPr/>
          <w:p>
            <w:pPr>
              <w:pStyle w:val="Compact"/>
              <w:jc w:val="left"/>
            </w:pPr>
            <w:r>
              <w:t xml:space="preserve">Annual</w:t>
            </w:r>
          </w:p>
        </w:tc>
        <w:tc>
          <w:tcPr/>
          <w:p>
            <w:pPr>
              <w:pStyle w:val="Compact"/>
              <w:jc w:val="left"/>
            </w:pPr>
            <w:r>
              <w:t xml:space="preserve">75,000</w:t>
            </w:r>
          </w:p>
        </w:tc>
      </w:tr>
      <w:tr>
        <w:tc>
          <w:tcPr>
            <w:gridSpan w:val="3"/>
          </w:tcPr>
          <w:p>
            <w:pPr>
              <w:pStyle w:val="Compact"/>
              <w:jc w:val="left"/>
            </w:pPr>
            <w:r>
              <w:t xml:space="preserve">Subtotal (Annual Estimated Total)</w:t>
            </w:r>
          </w:p>
        </w:tc>
        <w:tc>
          <w:tcPr/>
          <w:p>
            <w:pPr>
              <w:pStyle w:val="Compact"/>
              <w:jc w:val="left"/>
            </w:pPr>
            <w:r>
              <w:t xml:space="preserve">1,668,000</w:t>
            </w:r>
          </w:p>
        </w:tc>
      </w:tr>
      <w:tr>
        <w:tc>
          <w:tcPr>
            <w:gridSpan w:val="3"/>
          </w:tcPr>
          <w:p>
            <w:pPr>
              <w:pStyle w:val="Compact"/>
              <w:jc w:val="left"/>
            </w:pPr>
            <w:r>
              <w:t xml:space="preserve">VAT (7%)</w:t>
            </w:r>
          </w:p>
        </w:tc>
        <w:tc>
          <w:tcPr/>
          <w:p>
            <w:pPr>
              <w:pStyle w:val="Compact"/>
              <w:jc w:val="left"/>
            </w:pPr>
            <w:r>
              <w:t xml:space="preserve">116,760</w:t>
            </w:r>
          </w:p>
        </w:tc>
      </w:tr>
      <w:tr>
        <w:tc>
          <w:tcPr>
            <w:gridSpan w:val="3"/>
          </w:tcPr>
          <w:p>
            <w:pPr>
              <w:pStyle w:val="Compact"/>
              <w:jc w:val="left"/>
            </w:pPr>
            <w:r>
              <w:t xml:space="preserve">Grand Total (THB)</w:t>
            </w:r>
          </w:p>
        </w:tc>
        <w:tc>
          <w:tcPr/>
          <w:p>
            <w:pPr>
              <w:pStyle w:val="Compact"/>
              <w:jc w:val="left"/>
            </w:pPr>
            <w:r>
              <w:t xml:space="preserve">1,784,760</w:t>
            </w:r>
          </w:p>
        </w:tc>
      </w:tr>
    </w:tbl>
    <w:bookmarkEnd w:id="22"/>
    <w:bookmarkStart w:id="23" w:name="payment-schedule"/>
    <w:p>
      <w:pPr>
        <w:pStyle w:val="Heading2"/>
      </w:pPr>
      <w:r>
        <w:t xml:space="preserve">3. Payment Schedule</w:t>
      </w:r>
    </w:p>
    <w:p>
      <w:pPr>
        <w:pStyle w:val="FirstParagraph"/>
      </w:pPr>
      <w:r>
        <w:t xml:space="preserve">In accordance with standard commercial practice in</w:t>
      </w:r>
      <w:r>
        <w:t xml:space="preserve"> </w:t>
      </w:r>
      <w:r>
        <w:t xml:space="preserve">Thailand Bangkok</w:t>
      </w:r>
      <w:r>
        <w:t xml:space="preserve">, the total amount specified in this</w:t>
      </w:r>
      <w:r>
        <w:t xml:space="preserve"> </w:t>
      </w:r>
      <w:r>
        <w:t xml:space="preserve">Quotation Estimate</w:t>
      </w:r>
      <w:r>
        <w:t xml:space="preserve"> </w:t>
      </w:r>
      <w:r>
        <w:t xml:space="preserve">shall be disbursed as follows:</w:t>
      </w:r>
    </w:p>
    <w:p>
      <w:pPr>
        <w:numPr>
          <w:ilvl w:val="0"/>
          <w:numId w:val="1001"/>
        </w:numPr>
        <w:pStyle w:val="Compact"/>
      </w:pPr>
      <w:r>
        <w:rPr>
          <w:bCs/>
          <w:b/>
        </w:rPr>
        <w:t xml:space="preserve">30% Advance Payment (THB 535,428):</w:t>
      </w:r>
      <w:r>
        <w:t xml:space="preserve"> </w:t>
      </w:r>
      <w:r>
        <w:t xml:space="preserve">Due upon signed acceptance of this Quotation Estimate, prior to commencement of the Education Administrator recruitment process.</w:t>
      </w:r>
    </w:p>
    <w:p>
      <w:pPr>
        <w:numPr>
          <w:ilvl w:val="0"/>
          <w:numId w:val="1001"/>
        </w:numPr>
        <w:pStyle w:val="Compact"/>
      </w:pPr>
      <w:r>
        <w:rPr>
          <w:bCs/>
          <w:b/>
        </w:rPr>
        <w:t xml:space="preserve">40% Milestone Payment (THB 713,904):</w:t>
      </w:r>
      <w:r>
        <w:t xml:space="preserve"> </w:t>
      </w:r>
      <w:r>
        <w:t xml:space="preserve">Due upon successful onboarding and first month of active service by the Education Administrator.</w:t>
      </w:r>
    </w:p>
    <w:p>
      <w:pPr>
        <w:numPr>
          <w:ilvl w:val="0"/>
          <w:numId w:val="1001"/>
        </w:numPr>
        <w:pStyle w:val="Compact"/>
      </w:pPr>
      <w:r>
        <w:rPr>
          <w:bCs/>
          <w:b/>
        </w:rPr>
        <w:t xml:space="preserve">30% Final Payment (THB 535,428):</w:t>
      </w:r>
      <w:r>
        <w:t xml:space="preserve"> </w:t>
      </w:r>
      <w:r>
        <w:t xml:space="preserve">Due at the conclusion of the 12-month engagement period, subject to satisfactory completion of all deliverables outlined in Section 2.</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pricing may be revised to reflect changes in the Thailand Bangkok labour market, exchange rates, or regulatory fee structures.</w:t>
      </w:r>
    </w:p>
    <w:p>
      <w:pPr>
        <w:numPr>
          <w:ilvl w:val="0"/>
          <w:numId w:val="1002"/>
        </w:numPr>
        <w:pStyle w:val="Compact"/>
      </w:pPr>
      <w:r>
        <w:t xml:space="preserve">All costs are quoted in Thai Baht (THB) and are inclusive of applicable local taxes unless otherwise stated. The 7% Value Added Tax (VAT) is itemized separately in the cost table above.</w:t>
      </w:r>
    </w:p>
    <w:p>
      <w:pPr>
        <w:numPr>
          <w:ilvl w:val="0"/>
          <w:numId w:val="1002"/>
        </w:numPr>
        <w:pStyle w:val="Compact"/>
      </w:pPr>
      <w:r>
        <w:t xml:space="preserve">The Education Administrator's base salary, statutory social security contributions (5% employer share), and annual leave entitlements in accordance with the Thai Labour Protection Act B.E. 2541 (1998) are included within the monthly operational oversight fee (SA-04).</w:t>
      </w:r>
    </w:p>
    <w:p>
      <w:pPr>
        <w:numPr>
          <w:ilvl w:val="0"/>
          <w:numId w:val="1002"/>
        </w:numPr>
        <w:pStyle w:val="Compact"/>
      </w:pPr>
      <w:r>
        <w:t xml:space="preserve">Siam Educational Consulting Group Co., Ltd. shall not be liable for delays caused by government processing times for work permits, visa extensions, or OBEC regulatory approvals within Thailand Bangkok.</w:t>
      </w:r>
    </w:p>
    <w:p>
      <w:pPr>
        <w:numPr>
          <w:ilvl w:val="0"/>
          <w:numId w:val="1002"/>
        </w:numPr>
        <w:pStyle w:val="Compact"/>
      </w:pPr>
      <w:r>
        <w:t xml:space="preserve">Any scope changes, additional academic terms, or extended engagement beyond the initial 12-month period will require a supplementary Quotation Estimate issued in writing and countersigned by both parties.</w:t>
      </w:r>
    </w:p>
    <w:p>
      <w:pPr>
        <w:numPr>
          <w:ilvl w:val="0"/>
          <w:numId w:val="1002"/>
        </w:numPr>
        <w:pStyle w:val="Compact"/>
      </w:pPr>
      <w:r>
        <w:t xml:space="preserve">Confidentiality: All institutional data, student records, and internal policies of Bangkok International Academy accessed by the Education Administrator shall be treated as strictly confidential and protected under the Personal Data Protection Act B.E. 2562 (2019).</w:t>
      </w:r>
    </w:p>
    <w:p>
      <w:pPr>
        <w:numPr>
          <w:ilvl w:val="0"/>
          <w:numId w:val="1002"/>
        </w:numPr>
        <w:pStyle w:val="Compact"/>
      </w:pPr>
      <w:r>
        <w:t xml:space="preserve">Dispute resolution shall be governed by the laws of the Kingdom of Thailand, with jurisdiction vested in the competent courts of Bangkok, Thailand.</w:t>
      </w:r>
    </w:p>
    <w:bookmarkEnd w:id="24"/>
    <w:bookmarkStart w:id="25" w:name="acceptance-and-authorization"/>
    <w:p>
      <w:pPr>
        <w:pStyle w:val="Heading2"/>
      </w:pPr>
      <w:r>
        <w:t xml:space="preserve">5. Acceptance and Authorization</w:t>
      </w:r>
    </w:p>
    <w:p>
      <w:pPr>
        <w:pStyle w:val="FirstParagraph"/>
      </w:pPr>
      <w:r>
        <w:t xml:space="preserve">By signing below, the undersigned parties confirm their agreement to the terms, scope, and financial figures set forth in this</w:t>
      </w:r>
      <w:r>
        <w:t xml:space="preserve"> </w:t>
      </w:r>
      <w:r>
        <w:t xml:space="preserve">Quotation Estimate</w:t>
      </w:r>
      <w:r>
        <w:t xml:space="preserve"> </w:t>
      </w:r>
      <w:r>
        <w:t xml:space="preserve">for the engagement of an</w:t>
      </w:r>
      <w:r>
        <w:t xml:space="preserve"> </w:t>
      </w:r>
      <w:r>
        <w:t xml:space="preserve">Education Administrator</w:t>
      </w:r>
      <w:r>
        <w:t xml:space="preserve"> </w:t>
      </w:r>
      <w:r>
        <w:t xml:space="preserve">at the Bangkok International Academy,</w:t>
      </w:r>
      <w:r>
        <w:t xml:space="preserve"> </w:t>
      </w:r>
      <w:r>
        <w:t xml:space="preserve">Thailand Bangkok</w:t>
      </w:r>
      <w:r>
        <w:t xml:space="preserve">.</w:t>
      </w:r>
    </w:p>
    <w:p>
      <w:pPr>
        <w:pStyle w:val="BodyText"/>
      </w:pPr>
      <w:r>
        <w:rPr>
          <w:bCs/>
          <w:b/>
        </w:rPr>
        <w:t xml:space="preserve">For: Siam Educational Consulting Group Co.,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Bangkok International Academy</w:t>
      </w:r>
      <w:r>
        <w:br/>
      </w:r>
      <w:r>
        <w:t xml:space="preserve">Name: ___________________________</w:t>
      </w:r>
      <w:r>
        <w:br/>
      </w:r>
      <w:r>
        <w:t xml:space="preserve">Title: Board Chairperson</w:t>
      </w:r>
      <w:r>
        <w:br/>
      </w:r>
      <w:r>
        <w:t xml:space="preserve">Date: ___________________________</w:t>
      </w:r>
    </w:p>
    <w:p>
      <w:pPr>
        <w:pStyle w:val="BodyText"/>
      </w:pPr>
      <w:r>
        <w:t xml:space="preserve">Quotation Estimate No. QTE-2025-BKK-0472 | Siam Educational Consulting Group Co., Ltd. | Bangkok, Thailand</w:t>
      </w:r>
    </w:p>
    <w:p>
      <w:pPr>
        <w:pStyle w:val="BodyText"/>
      </w:pPr>
      <w:r>
        <w:t xml:space="preserve">This document is generated electronically and is valid without a physical seal. For inquiries, contact quotations@siameduconsulting.co.th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Thailand Bangkok</dc:title>
  <dc:creator/>
  <dc:language>en</dc:language>
  <cp:keywords/>
  <dcterms:created xsi:type="dcterms:W3CDTF">2026-10-10T09:13:40Z</dcterms:created>
  <dcterms:modified xsi:type="dcterms:W3CDTF">2026-10-10T09:13:40Z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