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Education</w:t>
      </w:r>
      <w:r>
        <w:t xml:space="preserve"> </w:t>
      </w:r>
      <w:r>
        <w:t xml:space="preserve">Administrator</w:t>
      </w:r>
      <w:r>
        <w:t xml:space="preserve"> </w:t>
      </w:r>
      <w:r>
        <w:t xml:space="preserve">-</w:t>
      </w:r>
      <w:r>
        <w:t xml:space="preserve"> </w:t>
      </w:r>
      <w:r>
        <w:t xml:space="preserve">Turkey</w:t>
      </w:r>
      <w:r>
        <w:t xml:space="preserve"> </w:t>
      </w:r>
      <w:r>
        <w:t xml:space="preserve">Istanbul</w:t>
      </w:r>
    </w:p>
    <w:bookmarkStart w:id="20" w:name="quotation-estimate"/>
    <w:p>
      <w:pPr>
        <w:pStyle w:val="Heading1"/>
      </w:pPr>
      <w:r>
        <w:t xml:space="preserve">Quotation Estimate</w:t>
      </w:r>
    </w:p>
    <w:p>
      <w:pPr>
        <w:pStyle w:val="FirstParagraph"/>
      </w:pPr>
      <w:r>
        <w:t xml:space="preserve">Professional Staffing &amp; Educational Services Division</w:t>
      </w:r>
    </w:p>
    <w:p>
      <w:pPr>
        <w:pStyle w:val="BodyText"/>
      </w:pPr>
      <w:r>
        <w:t xml:space="preserve">Merkez Mahallesi, Büyükdere Caddesi No: 142, Şişli / Istanbul, Turkey</w:t>
      </w:r>
    </w:p>
    <w:p>
      <w:pPr>
        <w:pStyle w:val="BodyText"/>
      </w:pPr>
      <w:r>
        <w:t xml:space="preserve">Tel: +90 212 555 0142 | Email: quotations@edadmin-istanbul.com.tr</w:t>
      </w:r>
    </w:p>
    <w:bookmarkEnd w:id="20"/>
    <w:p>
      <w:pPr>
        <w:pStyle w:val="BodyText"/>
      </w:pPr>
      <w:r>
        <w:rPr>
          <w:bCs/>
          <w:b/>
        </w:rPr>
        <w:t xml:space="preserve">Quotation No:</w:t>
      </w:r>
      <w:r>
        <w:t xml:space="preserve"> </w:t>
      </w:r>
      <w:r>
        <w:t xml:space="preserve">QE-2025-TR-0847</w:t>
      </w:r>
      <w:r>
        <w:br/>
      </w:r>
      <w:r>
        <w:rPr>
          <w:bCs/>
          <w:b/>
        </w:rPr>
        <w:t xml:space="preserve">Date Issued:</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Prepared For:</w:t>
      </w:r>
      <w:r>
        <w:t xml:space="preserve"> </w:t>
      </w:r>
      <w:r>
        <w:t xml:space="preserve">Istanbul Metropolitan Education Board</w:t>
      </w:r>
      <w:r>
        <w:br/>
      </w:r>
      <w:r>
        <w:rPr>
          <w:bCs/>
          <w:b/>
        </w:rPr>
        <w:t xml:space="preserve">Address:</w:t>
      </w:r>
      <w:r>
        <w:t xml:space="preserve"> </w:t>
      </w:r>
      <w:r>
        <w:t xml:space="preserve">Beşiktaş District, Istanbul, Turkey</w:t>
      </w:r>
      <w:r>
        <w:br/>
      </w:r>
      <w:r>
        <w:rPr>
          <w:bCs/>
          <w:b/>
        </w:rPr>
        <w:t xml:space="preserve">Reference:</w:t>
      </w:r>
      <w:r>
        <w:t xml:space="preserve"> </w:t>
      </w:r>
      <w:r>
        <w:t xml:space="preserve">REQ-EDU-2025-0312</w:t>
      </w:r>
    </w:p>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formally issued to provide a comprehensive financial and operational breakdown for the recruitment, onboarding, and ongoing management of a qualified</w:t>
      </w:r>
      <w:r>
        <w:t xml:space="preserve"> </w:t>
      </w:r>
      <w:r>
        <w:t xml:space="preserve">Education Administrator</w:t>
      </w:r>
      <w:r>
        <w:t xml:space="preserve"> </w:t>
      </w:r>
      <w:r>
        <w:t xml:space="preserve">position within the educational infrastructure of</w:t>
      </w:r>
      <w:r>
        <w:t xml:space="preserve"> </w:t>
      </w:r>
      <w:r>
        <w:t xml:space="preserve">Turkey Istanbul</w:t>
      </w:r>
      <w:r>
        <w:t xml:space="preserve">. The scope of this document covers all associated costs, deliverables, timelines, and contractual obligations that will govern the engagement. This</w:t>
      </w:r>
      <w:r>
        <w:t xml:space="preserve"> </w:t>
      </w:r>
      <w:r>
        <w:t xml:space="preserve">Quotation Estimate</w:t>
      </w:r>
      <w:r>
        <w:t xml:space="preserve"> </w:t>
      </w:r>
      <w:r>
        <w:t xml:space="preserve">has been prepared in accordance with the Turkish Labor Law (Law No. 4857) and the regulations set forth by the Ministry of National Education (Milli Eğitim Bakanlığı) applicable to the Istanbul metropolitan region.</w:t>
      </w:r>
    </w:p>
    <w:bookmarkEnd w:id="21"/>
    <w:bookmarkStart w:id="22" w:name="X1f959f9f5a35c5fd2c792d9ac4b38870c3c6c71"/>
    <w:p>
      <w:pPr>
        <w:pStyle w:val="Heading2"/>
      </w:pPr>
      <w:r>
        <w:t xml:space="preserve">2. Position Overview: Education Administrator</w:t>
      </w:r>
    </w:p>
    <w:p>
      <w:pPr>
        <w:pStyle w:val="FirstParagraph"/>
      </w:pPr>
      <w:r>
        <w:t xml:space="preserve">The</w:t>
      </w:r>
      <w:r>
        <w:t xml:space="preserve"> </w:t>
      </w:r>
      <w:r>
        <w:t xml:space="preserve">Education Administrator</w:t>
      </w:r>
      <w:r>
        <w:t xml:space="preserve"> </w:t>
      </w:r>
      <w:r>
        <w:t xml:space="preserve">role is a senior-level operational position responsible for overseeing the day-to-day administrative functions of educational institutions across the Istanbul district. The appointed</w:t>
      </w:r>
      <w:r>
        <w:t xml:space="preserve"> </w:t>
      </w:r>
      <w:r>
        <w:t xml:space="preserve">Education Administrator</w:t>
      </w:r>
      <w:r>
        <w:t xml:space="preserve"> </w:t>
      </w:r>
      <w:r>
        <w:t xml:space="preserve">will manage curriculum coordination, faculty scheduling, student records, budget allocation, compliance reporting, and inter-departmental communication. Given the unique educational landscape of</w:t>
      </w:r>
      <w:r>
        <w:t xml:space="preserve"> </w:t>
      </w:r>
      <w:r>
        <w:t xml:space="preserve">Turkey Istanbul</w:t>
      </w:r>
      <w:r>
        <w:t xml:space="preserve">, which encompasses over 3,200 public and private schools, the</w:t>
      </w:r>
      <w:r>
        <w:t xml:space="preserve"> </w:t>
      </w:r>
      <w:r>
        <w:t xml:space="preserve">Education Administrator</w:t>
      </w:r>
      <w:r>
        <w:t xml:space="preserve"> </w:t>
      </w:r>
      <w:r>
        <w:t xml:space="preserve">must demonstrate fluency in both Turkish and English, possess a minimum of seven years of experience in educational management, and hold a recognized degree in Educational Administration or a related field from an accredited Turkish or internationally recognized university.</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Duration</w:t>
            </w:r>
          </w:p>
        </w:tc>
        <w:tc>
          <w:tcPr/>
          <w:p>
            <w:pPr>
              <w:pStyle w:val="Compact"/>
              <w:jc w:val="left"/>
            </w:pPr>
            <w:r>
              <w:t xml:space="preserve">Unit Cost (TRY)</w:t>
            </w:r>
          </w:p>
        </w:tc>
        <w:tc>
          <w:tcPr/>
          <w:p>
            <w:pPr>
              <w:pStyle w:val="Compact"/>
              <w:jc w:val="left"/>
            </w:pPr>
            <w:r>
              <w:t xml:space="preserve">Quantity</w:t>
            </w:r>
          </w:p>
        </w:tc>
        <w:tc>
          <w:tcPr/>
          <w:p>
            <w:pPr>
              <w:pStyle w:val="Compact"/>
              <w:jc w:val="left"/>
            </w:pPr>
            <w:r>
              <w:t xml:space="preserve">Total (TRY)</w:t>
            </w:r>
          </w:p>
        </w:tc>
      </w:tr>
      <w:tr>
        <w:tc>
          <w:tcPr/>
          <w:p>
            <w:pPr>
              <w:pStyle w:val="Compact"/>
              <w:jc w:val="left"/>
            </w:pPr>
            <w:r>
              <w:t xml:space="preserve">01</w:t>
            </w:r>
          </w:p>
        </w:tc>
        <w:tc>
          <w:tcPr/>
          <w:p>
            <w:pPr>
              <w:pStyle w:val="Compact"/>
              <w:jc w:val="left"/>
            </w:pPr>
            <w:r>
              <w:t xml:space="preserve">Recruitment &amp; Sourcing of Education Administrator (Turkey Istanbul market)</w:t>
            </w:r>
          </w:p>
        </w:tc>
        <w:tc>
          <w:tcPr/>
          <w:p>
            <w:pPr>
              <w:pStyle w:val="Compact"/>
              <w:jc w:val="left"/>
            </w:pPr>
            <w:r>
              <w:t xml:space="preserve">One-time</w:t>
            </w:r>
          </w:p>
        </w:tc>
        <w:tc>
          <w:tcPr/>
          <w:p>
            <w:pPr>
              <w:pStyle w:val="Compact"/>
              <w:jc w:val="left"/>
            </w:pPr>
            <w:r>
              <w:t xml:space="preserve">45,000.00</w:t>
            </w:r>
          </w:p>
        </w:tc>
        <w:tc>
          <w:tcPr/>
          <w:p>
            <w:pPr>
              <w:pStyle w:val="Compact"/>
              <w:jc w:val="left"/>
            </w:pPr>
            <w:r>
              <w:t xml:space="preserve">1</w:t>
            </w:r>
          </w:p>
        </w:tc>
        <w:tc>
          <w:tcPr/>
          <w:p>
            <w:pPr>
              <w:pStyle w:val="Compact"/>
              <w:jc w:val="left"/>
            </w:pPr>
            <w:r>
              <w:t xml:space="preserve">45,000.00</w:t>
            </w:r>
          </w:p>
        </w:tc>
      </w:tr>
      <w:tr>
        <w:tc>
          <w:tcPr/>
          <w:p>
            <w:pPr>
              <w:pStyle w:val="Compact"/>
              <w:jc w:val="left"/>
            </w:pPr>
            <w:r>
              <w:t xml:space="preserve">02</w:t>
            </w:r>
          </w:p>
        </w:tc>
        <w:tc>
          <w:tcPr/>
          <w:p>
            <w:pPr>
              <w:pStyle w:val="Compact"/>
              <w:jc w:val="left"/>
            </w:pPr>
            <w:r>
              <w:t xml:space="preserve">Monthly Base Salary – Education Administrator (Gross)</w:t>
            </w:r>
          </w:p>
        </w:tc>
        <w:tc>
          <w:tcPr/>
          <w:p>
            <w:pPr>
              <w:pStyle w:val="Compact"/>
              <w:jc w:val="left"/>
            </w:pPr>
            <w:r>
              <w:t xml:space="preserve">12 months</w:t>
            </w:r>
          </w:p>
        </w:tc>
        <w:tc>
          <w:tcPr/>
          <w:p>
            <w:pPr>
              <w:pStyle w:val="Compact"/>
              <w:jc w:val="left"/>
            </w:pPr>
            <w:r>
              <w:t xml:space="preserve">85,000.00</w:t>
            </w:r>
          </w:p>
        </w:tc>
        <w:tc>
          <w:tcPr/>
          <w:p>
            <w:pPr>
              <w:pStyle w:val="Compact"/>
              <w:jc w:val="left"/>
            </w:pPr>
            <w:r>
              <w:t xml:space="preserve">12</w:t>
            </w:r>
          </w:p>
        </w:tc>
        <w:tc>
          <w:tcPr/>
          <w:p>
            <w:pPr>
              <w:pStyle w:val="Compact"/>
              <w:jc w:val="left"/>
            </w:pPr>
            <w:r>
              <w:t xml:space="preserve">1,020,000.00</w:t>
            </w:r>
          </w:p>
        </w:tc>
      </w:tr>
      <w:tr>
        <w:tc>
          <w:tcPr/>
          <w:p>
            <w:pPr>
              <w:pStyle w:val="Compact"/>
              <w:jc w:val="left"/>
            </w:pPr>
            <w:r>
              <w:t xml:space="preserve">03</w:t>
            </w:r>
          </w:p>
        </w:tc>
        <w:tc>
          <w:tcPr/>
          <w:p>
            <w:pPr>
              <w:pStyle w:val="Compact"/>
              <w:jc w:val="left"/>
            </w:pPr>
            <w:r>
              <w:t xml:space="preserve">Statutory Social Security &amp; Tax Contributions (Employer Share – Turkey Istanbul)</w:t>
            </w:r>
          </w:p>
        </w:tc>
        <w:tc>
          <w:tcPr/>
          <w:p>
            <w:pPr>
              <w:pStyle w:val="Compact"/>
              <w:jc w:val="left"/>
            </w:pPr>
            <w:r>
              <w:t xml:space="preserve">12 months</w:t>
            </w:r>
          </w:p>
        </w:tc>
        <w:tc>
          <w:tcPr/>
          <w:p>
            <w:pPr>
              <w:pStyle w:val="Compact"/>
              <w:jc w:val="left"/>
            </w:pPr>
            <w:r>
              <w:t xml:space="preserve">22,750.00</w:t>
            </w:r>
          </w:p>
        </w:tc>
        <w:tc>
          <w:tcPr/>
          <w:p>
            <w:pPr>
              <w:pStyle w:val="Compact"/>
              <w:jc w:val="left"/>
            </w:pPr>
            <w:r>
              <w:t xml:space="preserve">12</w:t>
            </w:r>
          </w:p>
        </w:tc>
        <w:tc>
          <w:tcPr/>
          <w:p>
            <w:pPr>
              <w:pStyle w:val="Compact"/>
              <w:jc w:val="left"/>
            </w:pPr>
            <w:r>
              <w:t xml:space="preserve">273,000.00</w:t>
            </w:r>
          </w:p>
        </w:tc>
      </w:tr>
      <w:tr>
        <w:tc>
          <w:tcPr/>
          <w:p>
            <w:pPr>
              <w:pStyle w:val="Compact"/>
              <w:jc w:val="left"/>
            </w:pPr>
            <w:r>
              <w:t xml:space="preserve">04</w:t>
            </w:r>
          </w:p>
        </w:tc>
        <w:tc>
          <w:tcPr/>
          <w:p>
            <w:pPr>
              <w:pStyle w:val="Compact"/>
              <w:jc w:val="left"/>
            </w:pPr>
            <w:r>
              <w:t xml:space="preserve">Onboarding, Orientation &amp; Compliance Training (Istanbul Education Board Protocols)</w:t>
            </w:r>
          </w:p>
        </w:tc>
        <w:tc>
          <w:tcPr/>
          <w:p>
            <w:pPr>
              <w:pStyle w:val="Compact"/>
              <w:jc w:val="left"/>
            </w:pPr>
            <w:r>
              <w:t xml:space="preserve">One-time</w:t>
            </w:r>
          </w:p>
        </w:tc>
        <w:tc>
          <w:tcPr/>
          <w:p>
            <w:pPr>
              <w:pStyle w:val="Compact"/>
              <w:jc w:val="left"/>
            </w:pPr>
            <w:r>
              <w:t xml:space="preserve">18,500.00</w:t>
            </w:r>
          </w:p>
        </w:tc>
        <w:tc>
          <w:tcPr/>
          <w:p>
            <w:pPr>
              <w:pStyle w:val="Compact"/>
              <w:jc w:val="left"/>
            </w:pPr>
            <w:r>
              <w:t xml:space="preserve">1</w:t>
            </w:r>
          </w:p>
        </w:tc>
        <w:tc>
          <w:tcPr/>
          <w:p>
            <w:pPr>
              <w:pStyle w:val="Compact"/>
              <w:jc w:val="left"/>
            </w:pPr>
            <w:r>
              <w:t xml:space="preserve">18,500.00</w:t>
            </w:r>
          </w:p>
        </w:tc>
      </w:tr>
      <w:tr>
        <w:tc>
          <w:tcPr/>
          <w:p>
            <w:pPr>
              <w:pStyle w:val="Compact"/>
              <w:jc w:val="left"/>
            </w:pPr>
            <w:r>
              <w:t xml:space="preserve">05</w:t>
            </w:r>
          </w:p>
        </w:tc>
        <w:tc>
          <w:tcPr/>
          <w:p>
            <w:pPr>
              <w:pStyle w:val="Compact"/>
              <w:jc w:val="left"/>
            </w:pPr>
            <w:r>
              <w:t xml:space="preserve">Annual Professional Development &amp; Certification Renewal</w:t>
            </w:r>
          </w:p>
        </w:tc>
        <w:tc>
          <w:tcPr/>
          <w:p>
            <w:pPr>
              <w:pStyle w:val="Compact"/>
              <w:jc w:val="left"/>
            </w:pPr>
            <w:r>
              <w:t xml:space="preserve">12 months</w:t>
            </w:r>
          </w:p>
        </w:tc>
        <w:tc>
          <w:tcPr/>
          <w:p>
            <w:pPr>
              <w:pStyle w:val="Compact"/>
              <w:jc w:val="left"/>
            </w:pPr>
            <w:r>
              <w:t xml:space="preserve">12,000.00</w:t>
            </w:r>
          </w:p>
        </w:tc>
        <w:tc>
          <w:tcPr/>
          <w:p>
            <w:pPr>
              <w:pStyle w:val="Compact"/>
              <w:jc w:val="left"/>
            </w:pPr>
            <w:r>
              <w:t xml:space="preserve">1</w:t>
            </w:r>
          </w:p>
        </w:tc>
        <w:tc>
          <w:tcPr/>
          <w:p>
            <w:pPr>
              <w:pStyle w:val="Compact"/>
              <w:jc w:val="left"/>
            </w:pPr>
            <w:r>
              <w:t xml:space="preserve">12,000.00</w:t>
            </w:r>
          </w:p>
        </w:tc>
      </w:tr>
      <w:tr>
        <w:tc>
          <w:tcPr/>
          <w:p>
            <w:pPr>
              <w:pStyle w:val="Compact"/>
              <w:jc w:val="left"/>
            </w:pPr>
            <w:r>
              <w:t xml:space="preserve">06</w:t>
            </w:r>
          </w:p>
        </w:tc>
        <w:tc>
          <w:tcPr/>
          <w:p>
            <w:pPr>
              <w:pStyle w:val="Compact"/>
              <w:jc w:val="left"/>
            </w:pPr>
            <w:r>
              <w:t xml:space="preserve">Office Allocation, IT Equipment &amp; Software Licenses (Istanbul Office)</w:t>
            </w:r>
          </w:p>
        </w:tc>
        <w:tc>
          <w:tcPr/>
          <w:p>
            <w:pPr>
              <w:pStyle w:val="Compact"/>
              <w:jc w:val="left"/>
            </w:pPr>
            <w:r>
              <w:t xml:space="preserve">One-time</w:t>
            </w:r>
          </w:p>
        </w:tc>
        <w:tc>
          <w:tcPr/>
          <w:p>
            <w:pPr>
              <w:pStyle w:val="Compact"/>
              <w:jc w:val="left"/>
            </w:pPr>
            <w:r>
              <w:t xml:space="preserve">32,000.00</w:t>
            </w:r>
          </w:p>
        </w:tc>
        <w:tc>
          <w:tcPr/>
          <w:p>
            <w:pPr>
              <w:pStyle w:val="Compact"/>
              <w:jc w:val="left"/>
            </w:pPr>
            <w:r>
              <w:t xml:space="preserve">1</w:t>
            </w:r>
          </w:p>
        </w:tc>
        <w:tc>
          <w:tcPr/>
          <w:p>
            <w:pPr>
              <w:pStyle w:val="Compact"/>
              <w:jc w:val="left"/>
            </w:pPr>
            <w:r>
              <w:t xml:space="preserve">32,000.00</w:t>
            </w:r>
          </w:p>
        </w:tc>
      </w:tr>
      <w:tr>
        <w:tc>
          <w:tcPr/>
          <w:p>
            <w:pPr>
              <w:pStyle w:val="Compact"/>
              <w:jc w:val="left"/>
            </w:pPr>
            <w:r>
              <w:t xml:space="preserve">07</w:t>
            </w:r>
          </w:p>
        </w:tc>
        <w:tc>
          <w:tcPr/>
          <w:p>
            <w:pPr>
              <w:pStyle w:val="Compact"/>
              <w:jc w:val="left"/>
            </w:pPr>
            <w:r>
              <w:t xml:space="preserve">Transportation &amp; Local Mobility Allowance (Istanbul Metro &amp; District Travel)</w:t>
            </w:r>
          </w:p>
        </w:tc>
        <w:tc>
          <w:tcPr/>
          <w:p>
            <w:pPr>
              <w:pStyle w:val="Compact"/>
              <w:jc w:val="left"/>
            </w:pPr>
            <w:r>
              <w:t xml:space="preserve">12 months</w:t>
            </w:r>
          </w:p>
        </w:tc>
        <w:tc>
          <w:tcPr/>
          <w:p>
            <w:pPr>
              <w:pStyle w:val="Compact"/>
              <w:jc w:val="left"/>
            </w:pPr>
            <w:r>
              <w:t xml:space="preserve">4,500.00</w:t>
            </w:r>
          </w:p>
        </w:tc>
        <w:tc>
          <w:tcPr/>
          <w:p>
            <w:pPr>
              <w:pStyle w:val="Compact"/>
              <w:jc w:val="left"/>
            </w:pPr>
            <w:r>
              <w:t xml:space="preserve">12</w:t>
            </w:r>
          </w:p>
        </w:tc>
        <w:tc>
          <w:tcPr/>
          <w:p>
            <w:pPr>
              <w:pStyle w:val="Compact"/>
              <w:jc w:val="left"/>
            </w:pPr>
            <w:r>
              <w:t xml:space="preserve">54,000.00</w:t>
            </w:r>
          </w:p>
        </w:tc>
      </w:tr>
      <w:tr>
        <w:tc>
          <w:tcPr/>
          <w:p>
            <w:pPr>
              <w:pStyle w:val="Compact"/>
              <w:jc w:val="left"/>
            </w:pPr>
            <w:r>
              <w:t xml:space="preserve">08</w:t>
            </w:r>
          </w:p>
        </w:tc>
        <w:tc>
          <w:tcPr/>
          <w:p>
            <w:pPr>
              <w:pStyle w:val="Compact"/>
              <w:jc w:val="left"/>
            </w:pPr>
            <w:r>
              <w:t xml:space="preserve">Health Insurance Supplement (Private, Istanbul Provider Network)</w:t>
            </w:r>
          </w:p>
        </w:tc>
        <w:tc>
          <w:tcPr/>
          <w:p>
            <w:pPr>
              <w:pStyle w:val="Compact"/>
              <w:jc w:val="left"/>
            </w:pPr>
            <w:r>
              <w:t xml:space="preserve">12 months</w:t>
            </w:r>
          </w:p>
        </w:tc>
        <w:tc>
          <w:tcPr/>
          <w:p>
            <w:pPr>
              <w:pStyle w:val="Compact"/>
              <w:jc w:val="left"/>
            </w:pPr>
            <w:r>
              <w:t xml:space="preserve">6,200.00</w:t>
            </w:r>
          </w:p>
        </w:tc>
        <w:tc>
          <w:tcPr/>
          <w:p>
            <w:pPr>
              <w:pStyle w:val="Compact"/>
              <w:jc w:val="left"/>
            </w:pPr>
            <w:r>
              <w:t xml:space="preserve">12</w:t>
            </w:r>
          </w:p>
        </w:tc>
        <w:tc>
          <w:tcPr/>
          <w:p>
            <w:pPr>
              <w:pStyle w:val="Compact"/>
              <w:jc w:val="left"/>
            </w:pPr>
            <w:r>
              <w:t xml:space="preserve">74,400.00</w:t>
            </w:r>
          </w:p>
        </w:tc>
      </w:tr>
      <w:tr>
        <w:tc>
          <w:tcPr/>
          <w:p>
            <w:pPr>
              <w:pStyle w:val="Compact"/>
              <w:jc w:val="left"/>
            </w:pPr>
            <w:r>
              <w:t xml:space="preserve">09</w:t>
            </w:r>
          </w:p>
        </w:tc>
        <w:tc>
          <w:tcPr/>
          <w:p>
            <w:pPr>
              <w:pStyle w:val="Compact"/>
              <w:jc w:val="left"/>
            </w:pPr>
            <w:r>
              <w:t xml:space="preserve">Performance Review &amp; Annual Appraisal Administration</w:t>
            </w:r>
          </w:p>
        </w:tc>
        <w:tc>
          <w:tcPr/>
          <w:p>
            <w:pPr>
              <w:pStyle w:val="Compact"/>
              <w:jc w:val="left"/>
            </w:pPr>
            <w:r>
              <w:t xml:space="preserve">12 months</w:t>
            </w:r>
          </w:p>
        </w:tc>
        <w:tc>
          <w:tcPr/>
          <w:p>
            <w:pPr>
              <w:pStyle w:val="Compact"/>
              <w:jc w:val="left"/>
            </w:pPr>
            <w:r>
              <w:t xml:space="preserve">8,000.00</w:t>
            </w:r>
          </w:p>
        </w:tc>
        <w:tc>
          <w:tcPr/>
          <w:p>
            <w:pPr>
              <w:pStyle w:val="Compact"/>
              <w:jc w:val="left"/>
            </w:pPr>
            <w:r>
              <w:t xml:space="preserve">1</w:t>
            </w:r>
          </w:p>
        </w:tc>
        <w:tc>
          <w:tcPr/>
          <w:p>
            <w:pPr>
              <w:pStyle w:val="Compact"/>
              <w:jc w:val="left"/>
            </w:pPr>
            <w:r>
              <w:t xml:space="preserve">8,000.00</w:t>
            </w:r>
          </w:p>
        </w:tc>
      </w:tr>
      <w:tr>
        <w:tc>
          <w:tcPr/>
          <w:p>
            <w:pPr>
              <w:pStyle w:val="Compact"/>
              <w:jc w:val="left"/>
            </w:pPr>
            <w:r>
              <w:t xml:space="preserve">10</w:t>
            </w:r>
          </w:p>
        </w:tc>
        <w:tc>
          <w:tcPr/>
          <w:p>
            <w:pPr>
              <w:pStyle w:val="Compact"/>
              <w:jc w:val="left"/>
            </w:pPr>
            <w:r>
              <w:t xml:space="preserve">Contingency &amp; Administrative Overhead (5%)</w:t>
            </w:r>
          </w:p>
        </w:tc>
        <w:tc>
          <w:tcPr/>
          <w:p>
            <w:pPr>
              <w:pStyle w:val="Compact"/>
              <w:jc w:val="left"/>
            </w:pPr>
            <w:r>
              <w:t xml:space="preserve">12 months</w:t>
            </w:r>
          </w:p>
        </w:tc>
        <w:tc>
          <w:tcPr/>
          <w:p>
            <w:pPr>
              <w:pStyle w:val="Compact"/>
              <w:jc w:val="left"/>
            </w:pPr>
            <w:r>
              <w:t xml:space="preserve">—</w:t>
            </w:r>
          </w:p>
        </w:tc>
        <w:tc>
          <w:tcPr/>
          <w:p>
            <w:pPr>
              <w:pStyle w:val="Compact"/>
              <w:jc w:val="left"/>
            </w:pPr>
            <w:r>
              <w:t xml:space="preserve">1</w:t>
            </w:r>
          </w:p>
        </w:tc>
        <w:tc>
          <w:tcPr/>
          <w:p>
            <w:pPr>
              <w:pStyle w:val="Compact"/>
              <w:jc w:val="left"/>
            </w:pPr>
            <w:r>
              <w:t xml:space="preserve">72,195.00</w:t>
            </w:r>
          </w:p>
        </w:tc>
      </w:tr>
      <w:tr>
        <w:tc>
          <w:tcPr>
            <w:gridSpan w:val="5"/>
          </w:tcPr>
          <w:p>
            <w:pPr>
              <w:pStyle w:val="Compact"/>
              <w:jc w:val="left"/>
            </w:pPr>
            <w:r>
              <w:t xml:space="preserve">GRAND TOTAL (TRY)</w:t>
            </w:r>
          </w:p>
        </w:tc>
        <w:tc>
          <w:tcPr/>
          <w:p>
            <w:pPr>
              <w:pStyle w:val="Compact"/>
              <w:jc w:val="left"/>
            </w:pPr>
            <w:r>
              <w:t xml:space="preserve">1,609,095.00</w:t>
            </w:r>
          </w:p>
        </w:tc>
      </w:tr>
    </w:tbl>
    <w:bookmarkEnd w:id="23"/>
    <w:bookmarkStart w:id="24" w:name="scope-of-services-deliverables"/>
    <w:p>
      <w:pPr>
        <w:pStyle w:val="Heading2"/>
      </w:pPr>
      <w:r>
        <w:t xml:space="preserve">4. Scope of Services &amp; Deliverables</w:t>
      </w:r>
    </w:p>
    <w:p>
      <w:pPr>
        <w:pStyle w:val="FirstParagraph"/>
      </w:pPr>
      <w:r>
        <w:t xml:space="preserve">The</w:t>
      </w:r>
      <w:r>
        <w:t xml:space="preserve"> </w:t>
      </w:r>
      <w:r>
        <w:t xml:space="preserve">Education Administrator</w:t>
      </w:r>
      <w:r>
        <w:t xml:space="preserve"> </w:t>
      </w:r>
      <w:r>
        <w:t xml:space="preserve">engaged under this</w:t>
      </w:r>
      <w:r>
        <w:t xml:space="preserve"> </w:t>
      </w:r>
      <w:r>
        <w:t xml:space="preserve">Quotation Estimate</w:t>
      </w:r>
      <w:r>
        <w:t xml:space="preserve"> </w:t>
      </w:r>
      <w:r>
        <w:t xml:space="preserve">will deliver the following within the operational boundaries of</w:t>
      </w:r>
      <w:r>
        <w:t xml:space="preserve"> </w:t>
      </w:r>
      <w:r>
        <w:t xml:space="preserve">Turkey Istanbul</w:t>
      </w:r>
      <w:r>
        <w:t xml:space="preserve">:</w:t>
      </w:r>
    </w:p>
    <w:p>
      <w:pPr>
        <w:pStyle w:val="BodyText"/>
      </w:pPr>
      <w:r>
        <w:t xml:space="preserve">a) Full administrative oversight of assigned educational institutions in the Istanbul metropolitan area, including but not limited to Kadıköy, Beşiktaş, and Üsküdar districts.</w:t>
      </w:r>
      <w:r>
        <w:br/>
      </w:r>
      <w:r>
        <w:t xml:space="preserve">b) Monthly operational reports submitted to the Istanbul Education Board no later than the 5th business day of each month.</w:t>
      </w:r>
      <w:r>
        <w:br/>
      </w:r>
      <w:r>
        <w:t xml:space="preserve">c) Coordination of teacher recruitment cycles, curriculum updates, and student enrollment processes in compliance with MEB regulations.</w:t>
      </w:r>
      <w:r>
        <w:br/>
      </w:r>
      <w:r>
        <w:t xml:space="preserve">d) Management of the annual budget allocation for assigned facilities, ensuring fiscal transparency and adherence to Turkish public procurement standards.</w:t>
      </w:r>
      <w:r>
        <w:br/>
      </w:r>
      <w:r>
        <w:t xml:space="preserve">e) Representation of the institution at inter-district meetings, parent-teacher associations, and municipal education forums within Istanbul.</w:t>
      </w:r>
      <w:r>
        <w:br/>
      </w:r>
      <w:r>
        <w:t xml:space="preserve">f) Maintenance of all statutory records, data protection compliance under KVKK (Turkish Personal Data Protection Law), and audit readiness.</w:t>
      </w:r>
    </w:p>
    <w:bookmarkEnd w:id="24"/>
    <w:bookmarkStart w:id="25" w:name="payment-terms-schedule"/>
    <w:p>
      <w:pPr>
        <w:pStyle w:val="Heading2"/>
      </w:pPr>
      <w:r>
        <w:t xml:space="preserve">5. Payment Terms &amp; Schedule</w:t>
      </w:r>
    </w:p>
    <w:p>
      <w:pPr>
        <w:pStyle w:val="FirstParagraph"/>
      </w:pPr>
      <w:r>
        <w:t xml:space="preserve">All payments referenced in this</w:t>
      </w:r>
      <w:r>
        <w:t xml:space="preserve"> </w:t>
      </w:r>
      <w:r>
        <w:t xml:space="preserve">Quotation Estimate</w:t>
      </w:r>
      <w:r>
        <w:t xml:space="preserve"> </w:t>
      </w:r>
      <w:r>
        <w:t xml:space="preserve">shall be made in Turkish Lira (TRY) via bank transfer to the designated account of the service provider. The payment schedule is structured as follows:</w:t>
      </w:r>
    </w:p>
    <w:p>
      <w:pPr>
        <w:pStyle w:val="BodyText"/>
      </w:pPr>
      <w:r>
        <w:t xml:space="preserve">• 30% advance payment upon acceptance of this</w:t>
      </w:r>
      <w:r>
        <w:t xml:space="preserve"> </w:t>
      </w:r>
      <w:r>
        <w:t xml:space="preserve">Quotation Estimate</w:t>
      </w:r>
      <w:r>
        <w:t xml:space="preserve"> </w:t>
      </w:r>
      <w:r>
        <w:t xml:space="preserve">(within 10 business days).</w:t>
      </w:r>
      <w:r>
        <w:br/>
      </w:r>
      <w:r>
        <w:t xml:space="preserve">• 50% upon successful onboarding and commencement of duties by the</w:t>
      </w:r>
      <w:r>
        <w:t xml:space="preserve"> </w:t>
      </w:r>
      <w:r>
        <w:t xml:space="preserve">Education Administrator</w:t>
      </w:r>
      <w:r>
        <w:t xml:space="preserve">.</w:t>
      </w:r>
      <w:r>
        <w:br/>
      </w:r>
      <w:r>
        <w:t xml:space="preserve">• 20% upon completion of the first full quarter of service delivery in</w:t>
      </w:r>
      <w:r>
        <w:t xml:space="preserve"> </w:t>
      </w:r>
      <w:r>
        <w:t xml:space="preserve">Turkey Istanbul</w:t>
      </w:r>
      <w:r>
        <w:t xml:space="preserve">.</w:t>
      </w:r>
    </w:p>
    <w:p>
      <w:pPr>
        <w:pStyle w:val="BodyText"/>
      </w:pPr>
      <w:r>
        <w:t xml:space="preserve">Late payments shall incur a penalty of 1.5% per month, calculated in accordance with Turkish commercial law provisions.</w:t>
      </w:r>
    </w:p>
    <w:bookmarkEnd w:id="25"/>
    <w:bookmarkStart w:id="26" w:name="terms-conditions"/>
    <w:p>
      <w:pPr>
        <w:pStyle w:val="Heading2"/>
      </w:pPr>
      <w:r>
        <w:t xml:space="preserve">6. Terms &amp; Conditions</w:t>
      </w:r>
    </w:p>
    <w:p>
      <w:pPr>
        <w:pStyle w:val="FirstParagraph"/>
      </w:pPr>
      <w:r>
        <w:t xml:space="preserve">6.1 This</w:t>
      </w:r>
      <w:r>
        <w:t xml:space="preserve"> </w:t>
      </w:r>
      <w:r>
        <w:t xml:space="preserve">Quotation Estimate</w:t>
      </w:r>
      <w:r>
        <w:t xml:space="preserve"> </w:t>
      </w:r>
      <w:r>
        <w:t xml:space="preserve">is valid for thirty (30) calendar days from the date of issue. Beyond this period, all figures are subject to revision based on prevailing market conditions in</w:t>
      </w:r>
      <w:r>
        <w:t xml:space="preserve"> </w:t>
      </w:r>
      <w:r>
        <w:t xml:space="preserve">Turkey Istanbul</w:t>
      </w:r>
      <w:r>
        <w:t xml:space="preserve">.</w:t>
      </w:r>
    </w:p>
    <w:p>
      <w:pPr>
        <w:pStyle w:val="BodyText"/>
      </w:pPr>
      <w:r>
        <w:t xml:space="preserve">6.2 The engagement of the</w:t>
      </w:r>
      <w:r>
        <w:t xml:space="preserve"> </w:t>
      </w:r>
      <w:r>
        <w:t xml:space="preserve">Education Administrator</w:t>
      </w:r>
      <w:r>
        <w:t xml:space="preserve"> </w:t>
      </w:r>
      <w:r>
        <w:t xml:space="preserve">is subject to a three-month probationary period, during which either party may terminate the arrangement with fourteen (14) days' written notice.</w:t>
      </w:r>
    </w:p>
    <w:p>
      <w:pPr>
        <w:pStyle w:val="BodyText"/>
      </w:pPr>
      <w:r>
        <w:t xml:space="preserve">6.3 All intellectual property, institutional records, and operational data generated during the tenure of the</w:t>
      </w:r>
      <w:r>
        <w:t xml:space="preserve"> </w:t>
      </w:r>
      <w:r>
        <w:t xml:space="preserve">Education Administrator</w:t>
      </w:r>
      <w:r>
        <w:t xml:space="preserve"> </w:t>
      </w:r>
      <w:r>
        <w:t xml:space="preserve">shall remain the exclusive property of the Istanbul Education Board.</w:t>
      </w:r>
    </w:p>
    <w:p>
      <w:pPr>
        <w:pStyle w:val="BodyText"/>
      </w:pPr>
      <w:r>
        <w:t xml:space="preserve">6.4 Disputes arising from this</w:t>
      </w:r>
      <w:r>
        <w:t xml:space="preserve"> </w:t>
      </w:r>
      <w:r>
        <w:t xml:space="preserve">Quotation Estimate</w:t>
      </w:r>
      <w:r>
        <w:t xml:space="preserve"> </w:t>
      </w:r>
      <w:r>
        <w:t xml:space="preserve">shall be resolved through arbitration in Istanbul, Turkey, in accordance with the rules of the Istanbul Arbitration Center (ISTAC).</w:t>
      </w:r>
    </w:p>
    <w:p>
      <w:pPr>
        <w:pStyle w:val="BodyText"/>
      </w:pPr>
      <w:r>
        <w:t xml:space="preserve">6.5 This document constitutes the entire agreement between the parties and supersedes all prior negotiations, representations, or understandings relating to the</w:t>
      </w:r>
      <w:r>
        <w:t xml:space="preserve"> </w:t>
      </w:r>
      <w:r>
        <w:t xml:space="preserve">Education Administrator</w:t>
      </w:r>
      <w:r>
        <w:t xml:space="preserve"> </w:t>
      </w:r>
      <w:r>
        <w:t xml:space="preserve">position in</w:t>
      </w:r>
      <w:r>
        <w:t xml:space="preserve"> </w:t>
      </w:r>
      <w:r>
        <w:t xml:space="preserve">Turkey Istanbul</w:t>
      </w:r>
      <w:r>
        <w:t xml:space="preserve">.</w:t>
      </w:r>
    </w:p>
    <w:bookmarkEnd w:id="26"/>
    <w:bookmarkStart w:id="27" w:name="acceptance-authorization"/>
    <w:p>
      <w:pPr>
        <w:pStyle w:val="Heading2"/>
      </w:pPr>
      <w:r>
        <w:t xml:space="preserve">7. Acceptance &amp; Authorization</w:t>
      </w:r>
    </w:p>
    <w:p>
      <w:pPr>
        <w:pStyle w:val="FirstParagraph"/>
      </w:pPr>
      <w:r>
        <w:t xml:space="preserve">By signing below, the undersigned parties acknowledge and accept all terms, conditions, and financial obligations outlined in this</w:t>
      </w:r>
      <w:r>
        <w:t xml:space="preserve"> </w:t>
      </w:r>
      <w:r>
        <w:t xml:space="preserve">Quotation Estimate</w:t>
      </w:r>
      <w:r>
        <w:t xml:space="preserve"> </w:t>
      </w:r>
      <w:r>
        <w:t xml:space="preserve">for the</w:t>
      </w:r>
      <w:r>
        <w:t xml:space="preserve"> </w:t>
      </w:r>
      <w:r>
        <w:t xml:space="preserve">Education Administrator</w:t>
      </w:r>
      <w:r>
        <w:t xml:space="preserve"> </w:t>
      </w:r>
      <w:r>
        <w:t xml:space="preserve">position in</w:t>
      </w:r>
      <w:r>
        <w:t xml:space="preserve"> </w:t>
      </w:r>
      <w:r>
        <w:t xml:space="preserve">Turkey Istanbul</w:t>
      </w:r>
      <w:r>
        <w:t xml:space="preserve">.</w:t>
      </w:r>
    </w:p>
    <w:p>
      <w:pPr>
        <w:pStyle w:val="BodyText"/>
      </w:pPr>
      <w:r>
        <w:rPr>
          <w:bCs/>
          <w:b/>
        </w:rPr>
        <w:t xml:space="preserve">For the Service Provider</w:t>
      </w:r>
      <w:r>
        <w:br/>
      </w:r>
      <w:r>
        <w:t xml:space="preserve">Authorized Signatory</w:t>
      </w:r>
      <w:r>
        <w:br/>
      </w:r>
      <w:r>
        <w:t xml:space="preserve">Name: _________________________</w:t>
      </w:r>
      <w:r>
        <w:br/>
      </w:r>
      <w:r>
        <w:t xml:space="preserve">Title: _________________________</w:t>
      </w:r>
      <w:r>
        <w:br/>
      </w:r>
      <w:r>
        <w:t xml:space="preserve">Date: _________________________</w:t>
      </w:r>
      <w:r>
        <w:br/>
      </w:r>
      <w:r>
        <w:t xml:space="preserve">Signature &amp; Stamp:</w:t>
      </w:r>
    </w:p>
    <w:p>
      <w:pPr>
        <w:pStyle w:val="BodyText"/>
      </w:pPr>
      <w:r>
        <w:rPr>
          <w:bCs/>
          <w:b/>
        </w:rPr>
        <w:t xml:space="preserve">For the Client (Istanbul Education Board)</w:t>
      </w:r>
      <w:r>
        <w:br/>
      </w:r>
      <w:r>
        <w:t xml:space="preserve">Authorized Signatory</w:t>
      </w:r>
      <w:r>
        <w:br/>
      </w:r>
      <w:r>
        <w:t xml:space="preserve">Name: _________________________</w:t>
      </w:r>
      <w:r>
        <w:br/>
      </w:r>
      <w:r>
        <w:t xml:space="preserve">Title: _________________________</w:t>
      </w:r>
      <w:r>
        <w:br/>
      </w:r>
      <w:r>
        <w:t xml:space="preserve">Date: _________________________</w:t>
      </w:r>
      <w:r>
        <w:br/>
      </w:r>
      <w:r>
        <w:t xml:space="preserve">Signature &amp; Stamp:</w:t>
      </w:r>
    </w:p>
    <w:p>
      <w:pPr>
        <w:pStyle w:val="BodyText"/>
      </w:pPr>
      <w:r>
        <w:t xml:space="preserve">Quotation Estimate No. QE-2025-TR-0847 | Education Administrator | Turkey Istanbul</w:t>
      </w:r>
    </w:p>
    <w:p>
      <w:pPr>
        <w:pStyle w:val="BodyText"/>
      </w:pPr>
      <w:r>
        <w:t xml:space="preserve">This document is confidential and intended solely for the named recipient. Unauthorized reproduction or distribution is prohibited under Turkish law.</w:t>
      </w:r>
    </w:p>
    <w:p>
      <w:pPr>
        <w:pStyle w:val="BodyText"/>
      </w:pPr>
      <w:r>
        <w:t xml:space="preserve">© 2025 Professional Staffing &amp; Educational Services Division, Istanbul, Turkey. All rights reserved.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Education Administrator - Turkey Istanbul</dc:title>
  <dc:creator/>
  <dc:language>en</dc:language>
  <cp:keywords/>
  <dcterms:created xsi:type="dcterms:W3CDTF">2026-10-10T06:53:15Z</dcterms:created>
  <dcterms:modified xsi:type="dcterms:W3CDTF">2026-10-10T06:53:15Z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