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Education</w:t>
      </w:r>
      <w:r>
        <w:t xml:space="preserve"> </w:t>
      </w:r>
      <w:r>
        <w:t xml:space="preserve">Administrator</w:t>
      </w:r>
      <w:r>
        <w:t xml:space="preserve"> </w:t>
      </w:r>
      <w:r>
        <w:t xml:space="preserve">-</w:t>
      </w:r>
      <w:r>
        <w:t xml:space="preserve"> </w:t>
      </w:r>
      <w:r>
        <w:t xml:space="preserve">United</w:t>
      </w:r>
      <w:r>
        <w:t xml:space="preserve"> </w:t>
      </w:r>
      <w:r>
        <w:t xml:space="preserve">States</w:t>
      </w:r>
      <w:r>
        <w:t xml:space="preserve"> </w:t>
      </w:r>
      <w:r>
        <w:t xml:space="preserve">Houston</w:t>
      </w:r>
    </w:p>
    <w:bookmarkStart w:id="20" w:name="quotation-estimate"/>
    <w:p>
      <w:pPr>
        <w:pStyle w:val="Heading1"/>
      </w:pPr>
      <w:r>
        <w:t xml:space="preserve">Quotation Estimate</w:t>
      </w:r>
    </w:p>
    <w:p>
      <w:pPr>
        <w:pStyle w:val="FirstParagraph"/>
      </w:pPr>
      <w:r>
        <w:t xml:space="preserve">Professional Education Administration Services</w:t>
      </w:r>
    </w:p>
    <w:p>
      <w:pPr>
        <w:pStyle w:val="BodyText"/>
      </w:pPr>
      <w:r>
        <w:t xml:space="preserve">Prepared for the United States Houston Market</w:t>
      </w:r>
    </w:p>
    <w:p>
      <w:pPr>
        <w:pStyle w:val="BodyText"/>
      </w:pPr>
      <w:r>
        <w:t xml:space="preserve">Document Reference: QE-EDU-HOU-2025-0417</w:t>
      </w:r>
    </w:p>
    <w:bookmarkEnd w:id="20"/>
    <w:tbl>
      <w:tblPr>
        <w:tblStyle w:val="Table"/>
        <w:tblW w:type="auto" w:w="0"/>
        <w:tblLook w:firstRow="0" w:lastRow="0" w:firstColumn="0" w:lastColumn="0" w:noHBand="0" w:noVBand="0" w:val="0000"/>
      </w:tblPr>
      <w:tblGrid>
        <w:gridCol w:w="1980"/>
        <w:gridCol w:w="1980"/>
        <w:gridCol w:w="1980"/>
        <w:gridCol w:w="1980"/>
      </w:tblGrid>
      <w:tr>
        <w:tc>
          <w:tcPr/>
          <w:p>
            <w:pPr>
              <w:pStyle w:val="Compact"/>
              <w:jc w:val="left"/>
            </w:pPr>
            <w:r>
              <w:t xml:space="preserve">Quotation Date:</w:t>
            </w:r>
          </w:p>
        </w:tc>
        <w:tc>
          <w:tcPr/>
          <w:p>
            <w:pPr>
              <w:pStyle w:val="Compact"/>
              <w:jc w:val="left"/>
            </w:pPr>
            <w:r>
              <w:t xml:space="preserve">June 15, 2025</w:t>
            </w:r>
          </w:p>
        </w:tc>
        <w:tc>
          <w:tcPr/>
          <w:p>
            <w:pPr>
              <w:pStyle w:val="Compact"/>
              <w:jc w:val="left"/>
            </w:pPr>
            <w:r>
              <w:t xml:space="preserve">Valid Until:</w:t>
            </w:r>
          </w:p>
        </w:tc>
        <w:tc>
          <w:tcPr/>
          <w:p>
            <w:pPr>
              <w:pStyle w:val="Compact"/>
              <w:jc w:val="left"/>
            </w:pPr>
            <w:r>
              <w:t xml:space="preserve">July 15, 2025</w:t>
            </w:r>
          </w:p>
        </w:tc>
      </w:tr>
      <w:tr>
        <w:tc>
          <w:tcPr/>
          <w:p>
            <w:pPr>
              <w:pStyle w:val="Compact"/>
              <w:jc w:val="left"/>
            </w:pPr>
            <w:r>
              <w:t xml:space="preserve">Prepared By:</w:t>
            </w:r>
          </w:p>
        </w:tc>
        <w:tc>
          <w:tcPr/>
          <w:p>
            <w:pPr>
              <w:pStyle w:val="Compact"/>
              <w:jc w:val="left"/>
            </w:pPr>
            <w:r>
              <w:t xml:space="preserve">Meridian Education Consulting Group, LLC</w:t>
            </w:r>
          </w:p>
        </w:tc>
        <w:tc>
          <w:tcPr/>
          <w:p>
            <w:pPr>
              <w:pStyle w:val="Compact"/>
              <w:jc w:val="left"/>
            </w:pPr>
            <w:r>
              <w:t xml:space="preserve">Location:</w:t>
            </w:r>
          </w:p>
        </w:tc>
        <w:tc>
          <w:tcPr/>
          <w:p>
            <w:pPr>
              <w:pStyle w:val="Compact"/>
              <w:jc w:val="left"/>
            </w:pPr>
            <w:r>
              <w:t xml:space="preserve">United States Houston, Texas 77002</w:t>
            </w:r>
          </w:p>
        </w:tc>
      </w:tr>
      <w:tr>
        <w:tc>
          <w:tcPr/>
          <w:p>
            <w:pPr>
              <w:pStyle w:val="Compact"/>
              <w:jc w:val="left"/>
            </w:pPr>
            <w:r>
              <w:t xml:space="preserve">Prepared For:</w:t>
            </w:r>
          </w:p>
        </w:tc>
        <w:tc>
          <w:tcPr/>
          <w:p>
            <w:pPr>
              <w:pStyle w:val="Compact"/>
              <w:jc w:val="left"/>
            </w:pPr>
            <w:r>
              <w:t xml:space="preserve">Client Organization (Name to be confirmed)</w:t>
            </w:r>
          </w:p>
        </w:tc>
        <w:tc>
          <w:tcPr/>
          <w:p>
            <w:pPr>
              <w:pStyle w:val="Compact"/>
              <w:jc w:val="left"/>
            </w:pPr>
            <w:r>
              <w:t xml:space="preserve">Contact:</w:t>
            </w:r>
          </w:p>
        </w:tc>
        <w:tc>
          <w:tcPr/>
          <w:p>
            <w:pPr>
              <w:pStyle w:val="Compact"/>
              <w:jc w:val="left"/>
            </w:pPr>
            <w:r>
              <w:t xml:space="preserve">Procurement Department</w:t>
            </w:r>
          </w:p>
        </w:tc>
      </w:tr>
      <w:tr>
        <w:tc>
          <w:tcPr/>
          <w:p>
            <w:pPr>
              <w:pStyle w:val="Compact"/>
              <w:jc w:val="left"/>
            </w:pPr>
            <w:r>
              <w:t xml:space="preserve">Service Category:</w:t>
            </w:r>
          </w:p>
        </w:tc>
        <w:tc>
          <w:tcPr>
            <w:gridSpan w:val="3"/>
          </w:tcPr>
          <w:p>
            <w:pPr>
              <w:pStyle w:val="Compact"/>
              <w:jc w:val="left"/>
            </w:pPr>
            <w:r>
              <w:t xml:space="preserve">Education Administrator – Full-Engagement Contract</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formally issued by Meridian Education Consulting Group, LLC to provide a comprehensive, itemized cost breakdown for the recruitment, onboarding, and ongoing professional engagement of a qualified</w:t>
      </w:r>
      <w:r>
        <w:t xml:space="preserve"> </w:t>
      </w:r>
      <w:r>
        <w:t xml:space="preserve">Education Administrator</w:t>
      </w:r>
      <w:r>
        <w:t xml:space="preserve"> </w:t>
      </w:r>
      <w:r>
        <w:t xml:space="preserve">within the</w:t>
      </w:r>
      <w:r>
        <w:t xml:space="preserve"> </w:t>
      </w:r>
      <w:r>
        <w:t xml:space="preserve">United States Houston</w:t>
      </w:r>
      <w:r>
        <w:t xml:space="preserve"> </w:t>
      </w:r>
      <w:r>
        <w:t xml:space="preserve">metropolitan area. This document serves as a binding financial proposal and outlines all associated costs, deliverables, timelines, and contractual terms governing the engagement. The scope of this estimate has been specifically calibrated to reflect current labor market conditions, regulatory requirements, and institutional standards prevalent in the Houston, Texas education sector.</w:t>
      </w:r>
    </w:p>
    <w:bookmarkEnd w:id="21"/>
    <w:bookmarkStart w:id="22" w:name="Xe6b269731e030716c037263561e6fc5ede49829"/>
    <w:p>
      <w:pPr>
        <w:pStyle w:val="Heading2"/>
      </w:pPr>
      <w:r>
        <w:t xml:space="preserve">2. Scope of Services – Education Administrator Role</w:t>
      </w:r>
    </w:p>
    <w:p>
      <w:pPr>
        <w:pStyle w:val="FirstParagraph"/>
      </w:pPr>
      <w:r>
        <w:t xml:space="preserve">The</w:t>
      </w:r>
      <w:r>
        <w:t xml:space="preserve"> </w:t>
      </w:r>
      <w:r>
        <w:t xml:space="preserve">Education Administrator</w:t>
      </w:r>
      <w:r>
        <w:t xml:space="preserve"> </w:t>
      </w:r>
      <w:r>
        <w:t xml:space="preserve">engaged under this Quotation Estimate will be responsible for the following core functions within the client's educational institution or district operating in the United States Houston area:</w:t>
      </w:r>
    </w:p>
    <w:p>
      <w:pPr>
        <w:numPr>
          <w:ilvl w:val="0"/>
          <w:numId w:val="1001"/>
        </w:numPr>
        <w:pStyle w:val="Compact"/>
      </w:pPr>
      <w:r>
        <w:t xml:space="preserve">Strategic planning and implementation of academic programs aligned with Texas Education Agency (TEA) standards and United States federal education mandates.</w:t>
      </w:r>
    </w:p>
    <w:p>
      <w:pPr>
        <w:numPr>
          <w:ilvl w:val="0"/>
          <w:numId w:val="1001"/>
        </w:numPr>
        <w:pStyle w:val="Compact"/>
      </w:pPr>
      <w:r>
        <w:t xml:space="preserve">Day-to-day operational management of administrative offices, including budget oversight, staffing coordination, and facility management.</w:t>
      </w:r>
    </w:p>
    <w:p>
      <w:pPr>
        <w:numPr>
          <w:ilvl w:val="0"/>
          <w:numId w:val="1001"/>
        </w:numPr>
        <w:pStyle w:val="Compact"/>
      </w:pPr>
      <w:r>
        <w:t xml:space="preserve">Development and enforcement of institutional policies, student conduct codes, and staff performance evaluation frameworks.</w:t>
      </w:r>
    </w:p>
    <w:p>
      <w:pPr>
        <w:numPr>
          <w:ilvl w:val="0"/>
          <w:numId w:val="1001"/>
        </w:numPr>
        <w:pStyle w:val="Compact"/>
      </w:pPr>
      <w:r>
        <w:t xml:space="preserve">Coordination with local United States Houston school boards, community stakeholders, and governmental bodies to ensure compliance with all applicable state and federal regulations.</w:t>
      </w:r>
    </w:p>
    <w:p>
      <w:pPr>
        <w:numPr>
          <w:ilvl w:val="0"/>
          <w:numId w:val="1001"/>
        </w:numPr>
        <w:pStyle w:val="Compact"/>
      </w:pPr>
      <w:r>
        <w:t xml:space="preserve">Supervision of academic departments, curriculum development teams, and support staff to maintain institutional excellence.</w:t>
      </w:r>
    </w:p>
    <w:p>
      <w:pPr>
        <w:numPr>
          <w:ilvl w:val="0"/>
          <w:numId w:val="1001"/>
        </w:numPr>
        <w:pStyle w:val="Compact"/>
      </w:pPr>
      <w:r>
        <w:t xml:space="preserve">Management of enrollment processes, accreditation preparation, and continuous quality improvement initiatives.</w:t>
      </w:r>
    </w:p>
    <w:p>
      <w:pPr>
        <w:numPr>
          <w:ilvl w:val="0"/>
          <w:numId w:val="1001"/>
        </w:numPr>
        <w:pStyle w:val="Compact"/>
      </w:pPr>
      <w:r>
        <w:t xml:space="preserve">Representation of the institution at regional and national education conferences, particularly those held within the Houston metropolitan corridor.</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Duration</w:t>
            </w:r>
          </w:p>
        </w:tc>
        <w:tc>
          <w:tcPr/>
          <w:p>
            <w:pPr>
              <w:pStyle w:val="Compact"/>
              <w:jc w:val="left"/>
            </w:pPr>
            <w:r>
              <w:t xml:space="preserve">Unit Cost (USD)</w:t>
            </w:r>
          </w:p>
        </w:tc>
        <w:tc>
          <w:tcPr/>
          <w:p>
            <w:pPr>
              <w:pStyle w:val="Compact"/>
              <w:jc w:val="left"/>
            </w:pPr>
            <w:r>
              <w:t xml:space="preserve">Total (USD)</w:t>
            </w:r>
          </w:p>
        </w:tc>
      </w:tr>
      <w:tr>
        <w:tc>
          <w:tcPr/>
          <w:p>
            <w:pPr>
              <w:pStyle w:val="Compact"/>
              <w:jc w:val="left"/>
            </w:pPr>
            <w:r>
              <w:t xml:space="preserve">1</w:t>
            </w:r>
          </w:p>
        </w:tc>
        <w:tc>
          <w:tcPr/>
          <w:p>
            <w:pPr>
              <w:pStyle w:val="Compact"/>
              <w:jc w:val="left"/>
            </w:pPr>
            <w:r>
              <w:t xml:space="preserve">Recruitment and screening of Education Administrator candidates (United States Houston market)</w:t>
            </w:r>
          </w:p>
        </w:tc>
        <w:tc>
          <w:tcPr/>
          <w:p>
            <w:pPr>
              <w:pStyle w:val="Compact"/>
              <w:jc w:val="left"/>
            </w:pPr>
            <w:r>
              <w:t xml:space="preserve">4 weeks</w:t>
            </w:r>
          </w:p>
        </w:tc>
        <w:tc>
          <w:tcPr/>
          <w:p>
            <w:pPr>
              <w:pStyle w:val="Compact"/>
              <w:jc w:val="left"/>
            </w:pPr>
            <w:r>
              <w:t xml:space="preserve">$8,500</w:t>
            </w:r>
          </w:p>
        </w:tc>
        <w:tc>
          <w:tcPr/>
          <w:p>
            <w:pPr>
              <w:pStyle w:val="Compact"/>
              <w:jc w:val="left"/>
            </w:pPr>
            <w:r>
              <w:t xml:space="preserve">$8,500</w:t>
            </w:r>
          </w:p>
        </w:tc>
      </w:tr>
      <w:tr>
        <w:tc>
          <w:tcPr/>
          <w:p>
            <w:pPr>
              <w:pStyle w:val="Compact"/>
              <w:jc w:val="left"/>
            </w:pPr>
            <w:r>
              <w:t xml:space="preserve">2</w:t>
            </w:r>
          </w:p>
        </w:tc>
        <w:tc>
          <w:tcPr/>
          <w:p>
            <w:pPr>
              <w:pStyle w:val="Compact"/>
              <w:jc w:val="left"/>
            </w:pPr>
            <w:r>
              <w:t xml:space="preserve">Background verification, credential validation, and Texas administrative license confirmation</w:t>
            </w:r>
          </w:p>
        </w:tc>
        <w:tc>
          <w:tcPr/>
          <w:p>
            <w:pPr>
              <w:pStyle w:val="Compact"/>
              <w:jc w:val="left"/>
            </w:pPr>
            <w:r>
              <w:t xml:space="preserve">2 weeks</w:t>
            </w:r>
          </w:p>
        </w:tc>
        <w:tc>
          <w:tcPr/>
          <w:p>
            <w:pPr>
              <w:pStyle w:val="Compact"/>
              <w:jc w:val="left"/>
            </w:pPr>
            <w:r>
              <w:t xml:space="preserve">$3,200</w:t>
            </w:r>
          </w:p>
        </w:tc>
        <w:tc>
          <w:tcPr/>
          <w:p>
            <w:pPr>
              <w:pStyle w:val="Compact"/>
              <w:jc w:val="left"/>
            </w:pPr>
            <w:r>
              <w:t xml:space="preserve">$3,200</w:t>
            </w:r>
          </w:p>
        </w:tc>
      </w:tr>
      <w:tr>
        <w:tc>
          <w:tcPr/>
          <w:p>
            <w:pPr>
              <w:pStyle w:val="Compact"/>
              <w:jc w:val="left"/>
            </w:pPr>
            <w:r>
              <w:t xml:space="preserve">3</w:t>
            </w:r>
          </w:p>
        </w:tc>
        <w:tc>
          <w:tcPr/>
          <w:p>
            <w:pPr>
              <w:pStyle w:val="Compact"/>
              <w:jc w:val="left"/>
            </w:pPr>
            <w:r>
              <w:t xml:space="preserve">Annual base compensation for Education Administrator (fully loaded, including benefits, insurance, and retirement contributions)</w:t>
            </w:r>
          </w:p>
        </w:tc>
        <w:tc>
          <w:tcPr/>
          <w:p>
            <w:pPr>
              <w:pStyle w:val="Compact"/>
              <w:jc w:val="left"/>
            </w:pPr>
            <w:r>
              <w:t xml:space="preserve">12 months</w:t>
            </w:r>
          </w:p>
        </w:tc>
        <w:tc>
          <w:tcPr/>
          <w:p>
            <w:pPr>
              <w:pStyle w:val="Compact"/>
              <w:jc w:val="left"/>
            </w:pPr>
            <w:r>
              <w:t xml:space="preserve">$112,000</w:t>
            </w:r>
          </w:p>
        </w:tc>
        <w:tc>
          <w:tcPr/>
          <w:p>
            <w:pPr>
              <w:pStyle w:val="Compact"/>
              <w:jc w:val="left"/>
            </w:pPr>
            <w:r>
              <w:t xml:space="preserve">$112,000</w:t>
            </w:r>
          </w:p>
        </w:tc>
      </w:tr>
      <w:tr>
        <w:tc>
          <w:tcPr/>
          <w:p>
            <w:pPr>
              <w:pStyle w:val="Compact"/>
              <w:jc w:val="left"/>
            </w:pPr>
            <w:r>
              <w:t xml:space="preserve">4</w:t>
            </w:r>
          </w:p>
        </w:tc>
        <w:tc>
          <w:tcPr/>
          <w:p>
            <w:pPr>
              <w:pStyle w:val="Compact"/>
              <w:jc w:val="left"/>
            </w:pPr>
            <w:r>
              <w:t xml:space="preserve">Onboarding, orientation, and institutional integration program (Houston-specific regulatory training)</w:t>
            </w:r>
          </w:p>
        </w:tc>
        <w:tc>
          <w:tcPr/>
          <w:p>
            <w:pPr>
              <w:pStyle w:val="Compact"/>
              <w:jc w:val="left"/>
            </w:pPr>
            <w:r>
              <w:t xml:space="preserve">3 weeks</w:t>
            </w:r>
          </w:p>
        </w:tc>
        <w:tc>
          <w:tcPr/>
          <w:p>
            <w:pPr>
              <w:pStyle w:val="Compact"/>
              <w:jc w:val="left"/>
            </w:pPr>
            <w:r>
              <w:t xml:space="preserve">$4,750</w:t>
            </w:r>
          </w:p>
        </w:tc>
        <w:tc>
          <w:tcPr/>
          <w:p>
            <w:pPr>
              <w:pStyle w:val="Compact"/>
              <w:jc w:val="left"/>
            </w:pPr>
            <w:r>
              <w:t xml:space="preserve">$4,750</w:t>
            </w:r>
          </w:p>
        </w:tc>
      </w:tr>
      <w:tr>
        <w:tc>
          <w:tcPr/>
          <w:p>
            <w:pPr>
              <w:pStyle w:val="Compact"/>
              <w:jc w:val="left"/>
            </w:pPr>
            <w:r>
              <w:t xml:space="preserve">5</w:t>
            </w:r>
          </w:p>
        </w:tc>
        <w:tc>
          <w:tcPr/>
          <w:p>
            <w:pPr>
              <w:pStyle w:val="Compact"/>
              <w:jc w:val="left"/>
            </w:pPr>
            <w:r>
              <w:t xml:space="preserve">Professional development and continuing education stipend (TEA-compliant)</w:t>
            </w:r>
          </w:p>
        </w:tc>
        <w:tc>
          <w:tcPr/>
          <w:p>
            <w:pPr>
              <w:pStyle w:val="Compact"/>
              <w:jc w:val="left"/>
            </w:pPr>
            <w:r>
              <w:t xml:space="preserve">12 months</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6</w:t>
            </w:r>
          </w:p>
        </w:tc>
        <w:tc>
          <w:tcPr/>
          <w:p>
            <w:pPr>
              <w:pStyle w:val="Compact"/>
              <w:jc w:val="left"/>
            </w:pPr>
            <w:r>
              <w:t xml:space="preserve">Administrative support staff allocation (2 part-time coordinators)</w:t>
            </w:r>
          </w:p>
        </w:tc>
        <w:tc>
          <w:tcPr/>
          <w:p>
            <w:pPr>
              <w:pStyle w:val="Compact"/>
              <w:jc w:val="left"/>
            </w:pPr>
            <w:r>
              <w:t xml:space="preserve">12 months</w:t>
            </w:r>
          </w:p>
        </w:tc>
        <w:tc>
          <w:tcPr/>
          <w:p>
            <w:pPr>
              <w:pStyle w:val="Compact"/>
              <w:jc w:val="left"/>
            </w:pPr>
            <w:r>
              <w:t xml:space="preserve">$48,000</w:t>
            </w:r>
          </w:p>
        </w:tc>
        <w:tc>
          <w:tcPr/>
          <w:p>
            <w:pPr>
              <w:pStyle w:val="Compact"/>
              <w:jc w:val="left"/>
            </w:pPr>
            <w:r>
              <w:t xml:space="preserve">$48,000</w:t>
            </w:r>
          </w:p>
        </w:tc>
      </w:tr>
      <w:tr>
        <w:tc>
          <w:tcPr/>
          <w:p>
            <w:pPr>
              <w:pStyle w:val="Compact"/>
              <w:jc w:val="left"/>
            </w:pPr>
            <w:r>
              <w:t xml:space="preserve">7</w:t>
            </w:r>
          </w:p>
        </w:tc>
        <w:tc>
          <w:tcPr/>
          <w:p>
            <w:pPr>
              <w:pStyle w:val="Compact"/>
              <w:jc w:val="left"/>
            </w:pPr>
            <w:r>
              <w:t xml:space="preserve">Office infrastructure, technology licensing, and workspace setup (United States Houston office location)</w:t>
            </w:r>
          </w:p>
        </w:tc>
        <w:tc>
          <w:tcPr/>
          <w:p>
            <w:pPr>
              <w:pStyle w:val="Compact"/>
              <w:jc w:val="left"/>
            </w:pPr>
            <w:r>
              <w:t xml:space="preserve">One-time</w:t>
            </w:r>
          </w:p>
        </w:tc>
        <w:tc>
          <w:tcPr/>
          <w:p>
            <w:pPr>
              <w:pStyle w:val="Compact"/>
              <w:jc w:val="left"/>
            </w:pPr>
            <w:r>
              <w:t xml:space="preserve">$12,300</w:t>
            </w:r>
          </w:p>
        </w:tc>
        <w:tc>
          <w:tcPr/>
          <w:p>
            <w:pPr>
              <w:pStyle w:val="Compact"/>
              <w:jc w:val="left"/>
            </w:pPr>
            <w:r>
              <w:t xml:space="preserve">$12,300</w:t>
            </w:r>
          </w:p>
        </w:tc>
      </w:tr>
      <w:tr>
        <w:tc>
          <w:tcPr/>
          <w:p>
            <w:pPr>
              <w:pStyle w:val="Compact"/>
              <w:jc w:val="left"/>
            </w:pPr>
            <w:r>
              <w:t xml:space="preserve">8</w:t>
            </w:r>
          </w:p>
        </w:tc>
        <w:tc>
          <w:tcPr/>
          <w:p>
            <w:pPr>
              <w:pStyle w:val="Compact"/>
              <w:jc w:val="left"/>
            </w:pPr>
            <w:r>
              <w:t xml:space="preserve">Performance evaluation and annual review cycle management</w:t>
            </w:r>
          </w:p>
        </w:tc>
        <w:tc>
          <w:tcPr/>
          <w:p>
            <w:pPr>
              <w:pStyle w:val="Compact"/>
              <w:jc w:val="left"/>
            </w:pPr>
            <w:r>
              <w:t xml:space="preserve">12 months</w:t>
            </w:r>
          </w:p>
        </w:tc>
        <w:tc>
          <w:tcPr/>
          <w:p>
            <w:pPr>
              <w:pStyle w:val="Compact"/>
              <w:jc w:val="left"/>
            </w:pPr>
            <w:r>
              <w:t xml:space="preserve">$2,800</w:t>
            </w:r>
          </w:p>
        </w:tc>
        <w:tc>
          <w:tcPr/>
          <w:p>
            <w:pPr>
              <w:pStyle w:val="Compact"/>
              <w:jc w:val="left"/>
            </w:pPr>
            <w:r>
              <w:t xml:space="preserve">$2,800</w:t>
            </w:r>
          </w:p>
        </w:tc>
      </w:tr>
      <w:tr>
        <w:tc>
          <w:tcPr/>
          <w:p>
            <w:pPr>
              <w:pStyle w:val="Compact"/>
              <w:jc w:val="left"/>
            </w:pPr>
            <w:r>
              <w:t xml:space="preserve">9</w:t>
            </w:r>
          </w:p>
        </w:tc>
        <w:tc>
          <w:tcPr/>
          <w:p>
            <w:pPr>
              <w:pStyle w:val="Compact"/>
              <w:jc w:val="left"/>
            </w:pPr>
            <w:r>
              <w:t xml:space="preserve">Legal compliance, contract management, and insurance coverage (Texas state and United States federal)</w:t>
            </w:r>
          </w:p>
        </w:tc>
        <w:tc>
          <w:tcPr/>
          <w:p>
            <w:pPr>
              <w:pStyle w:val="Compact"/>
              <w:jc w:val="left"/>
            </w:pPr>
            <w:r>
              <w:t xml:space="preserve">12 months</w:t>
            </w:r>
          </w:p>
        </w:tc>
        <w:tc>
          <w:tcPr/>
          <w:p>
            <w:pPr>
              <w:pStyle w:val="Compact"/>
              <w:jc w:val="left"/>
            </w:pPr>
            <w:r>
              <w:t xml:space="preserve">$6,500</w:t>
            </w:r>
          </w:p>
        </w:tc>
        <w:tc>
          <w:tcPr/>
          <w:p>
            <w:pPr>
              <w:pStyle w:val="Compact"/>
              <w:jc w:val="left"/>
            </w:pPr>
            <w:r>
              <w:t xml:space="preserve">$6,500</w:t>
            </w:r>
          </w:p>
        </w:tc>
      </w:tr>
      <w:tr>
        <w:tc>
          <w:tcPr/>
          <w:p>
            <w:pPr>
              <w:pStyle w:val="Compact"/>
              <w:jc w:val="left"/>
            </w:pPr>
            <w:r>
              <w:t xml:space="preserve">10</w:t>
            </w:r>
          </w:p>
        </w:tc>
        <w:tc>
          <w:tcPr/>
          <w:p>
            <w:pPr>
              <w:pStyle w:val="Compact"/>
              <w:jc w:val="left"/>
            </w:pPr>
            <w:r>
              <w:t xml:space="preserve">Contingency and miscellaneous operational expenses (estimated at 5%)</w:t>
            </w:r>
          </w:p>
        </w:tc>
        <w:tc>
          <w:tcPr/>
          <w:p>
            <w:pPr>
              <w:pStyle w:val="Compact"/>
              <w:jc w:val="left"/>
            </w:pPr>
            <w:r>
              <w:t xml:space="preserve">12 months</w:t>
            </w:r>
          </w:p>
        </w:tc>
        <w:tc>
          <w:tcPr/>
          <w:p>
            <w:pPr>
              <w:pStyle w:val="Compact"/>
              <w:jc w:val="left"/>
            </w:pPr>
            <w:r>
              <w:t xml:space="preserve">$9,805</w:t>
            </w:r>
          </w:p>
        </w:tc>
        <w:tc>
          <w:tcPr/>
          <w:p>
            <w:pPr>
              <w:pStyle w:val="Compact"/>
              <w:jc w:val="left"/>
            </w:pPr>
            <w:r>
              <w:t xml:space="preserve">$9,805</w:t>
            </w:r>
          </w:p>
        </w:tc>
      </w:tr>
      <w:tr>
        <w:tc>
          <w:tcPr>
            <w:gridSpan w:val="4"/>
          </w:tcPr>
          <w:p>
            <w:pPr>
              <w:pStyle w:val="Compact"/>
              <w:jc w:val="left"/>
            </w:pPr>
            <w:r>
              <w:t xml:space="preserve">TOTAL ESTIMATED COST (USD)</w:t>
            </w:r>
          </w:p>
        </w:tc>
        <w:tc>
          <w:tcPr/>
          <w:p>
            <w:pPr>
              <w:pStyle w:val="Compact"/>
              <w:jc w:val="left"/>
            </w:pPr>
            <w:r>
              <w:t xml:space="preserve">$213,755</w:t>
            </w:r>
          </w:p>
        </w:tc>
      </w:tr>
    </w:tbl>
    <w:bookmarkEnd w:id="23"/>
    <w:bookmarkStart w:id="24" w:name="payment-terms-and-schedule"/>
    <w:p>
      <w:pPr>
        <w:pStyle w:val="Heading2"/>
      </w:pPr>
      <w:r>
        <w:t xml:space="preserve">4. Payment Terms and Schedule</w:t>
      </w:r>
    </w:p>
    <w:p>
      <w:pPr>
        <w:pStyle w:val="FirstParagraph"/>
      </w:pPr>
      <w:r>
        <w:t xml:space="preserve">This Quotation Estimate stipulates the following payment structure. All payments shall be processed in United States Dollars (USD) via wire transfer to the designated account of Meridian Education Consulting Group, LLC, located in United States Houston, Texas. A 20% deposit is due upon acceptance of this Quotation Estimate. The remaining balance shall be disbursed in quarterly installments aligned with the fiscal calendar of the client institution. Late payments exceeding fifteen (15) business days will incur a 1.5% monthly interest charge as permitted under Texas commercial law.</w:t>
      </w:r>
    </w:p>
    <w:bookmarkEnd w:id="24"/>
    <w:bookmarkStart w:id="25" w:name="terms-and-conditions"/>
    <w:p>
      <w:pPr>
        <w:pStyle w:val="Heading2"/>
      </w:pPr>
      <w:r>
        <w:t xml:space="preserve">5. Terms and Conditions</w:t>
      </w:r>
    </w:p>
    <w:p>
      <w:pPr>
        <w:pStyle w:val="FirstParagraph"/>
      </w:pPr>
      <w:r>
        <w:rPr>
          <w:bCs/>
          <w:b/>
        </w:rPr>
        <w:t xml:space="preserve">5.1 Validity:</w:t>
      </w:r>
      <w:r>
        <w:t xml:space="preserve"> </w:t>
      </w:r>
      <w:r>
        <w:t xml:space="preserve">This Quotation Estimate is valid for thirty (30) calendar days from the date of issue. After the expiration date, all pricing and terms are subject to revision based on prevailing United States Houston labor market conditions.</w:t>
      </w:r>
    </w:p>
    <w:p>
      <w:pPr>
        <w:pStyle w:val="BodyText"/>
      </w:pPr>
      <w:r>
        <w:rPr>
          <w:bCs/>
          <w:b/>
        </w:rPr>
        <w:t xml:space="preserve">5.2 Scope Changes:</w:t>
      </w:r>
      <w:r>
        <w:t xml:space="preserve"> </w:t>
      </w:r>
      <w:r>
        <w:t xml:space="preserve">Any modification to the scope of the Education Administrator engagement must be documented in a written change order signed by both parties. Additional costs will be assessed at the rates specified in this Quotation Estimate.</w:t>
      </w:r>
    </w:p>
    <w:p>
      <w:pPr>
        <w:pStyle w:val="BodyText"/>
      </w:pPr>
      <w:r>
        <w:rPr>
          <w:bCs/>
          <w:b/>
        </w:rPr>
        <w:t xml:space="preserve">5.3 Termination:</w:t>
      </w:r>
      <w:r>
        <w:t xml:space="preserve"> </w:t>
      </w:r>
      <w:r>
        <w:t xml:space="preserve">Either party may terminate the engagement with sixty (60) days written notice. In the event of early termination, a pro-rated settlement of all incurred costs will be processed within thirty (30) days.</w:t>
      </w:r>
    </w:p>
    <w:p>
      <w:pPr>
        <w:pStyle w:val="BodyText"/>
      </w:pPr>
      <w:r>
        <w:rPr>
          <w:bCs/>
          <w:b/>
        </w:rPr>
        <w:t xml:space="preserve">5.4 Confidentiality:</w:t>
      </w:r>
      <w:r>
        <w:t xml:space="preserve"> </w:t>
      </w:r>
      <w:r>
        <w:t xml:space="preserve">All information exchanged during the course of this engagement, including candidate data, institutional records, and financial details, shall be treated as strictly confidential in accordance with United States federal and Texas state privacy regulations.</w:t>
      </w:r>
    </w:p>
    <w:p>
      <w:pPr>
        <w:pStyle w:val="BodyText"/>
      </w:pPr>
      <w:r>
        <w:rPr>
          <w:bCs/>
          <w:b/>
        </w:rPr>
        <w:t xml:space="preserve">5.5 Governing Law:</w:t>
      </w:r>
      <w:r>
        <w:t xml:space="preserve"> </w:t>
      </w:r>
      <w:r>
        <w:t xml:space="preserve">This Quotation Estimate and any resulting contract shall be governed by and construed in accordance with the laws of the State of Texas, United States. Any disputes shall be resolved through binding arbitration in Houston, Texas.</w:t>
      </w:r>
    </w:p>
    <w:p>
      <w:pPr>
        <w:pStyle w:val="BodyText"/>
      </w:pPr>
      <w:r>
        <w:rPr>
          <w:bCs/>
          <w:b/>
        </w:rPr>
        <w:t xml:space="preserve">5.6 Insurance and Liability:</w:t>
      </w:r>
      <w:r>
        <w:t xml:space="preserve"> </w:t>
      </w:r>
      <w:r>
        <w:t xml:space="preserve">The Education Administrator shall be covered under the client's institutional liability insurance policy. Meridian Education Consulting Group, LLC shall maintain professional indemnity insurance with a minimum coverage of $2,000,000 per occurrence.</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financial obligations outlined herein for the engagement of an Education Administrator in the United States Houston area. This document constitutes a formal proposal and, upon countersignature, becomes a binding agreement between the parties.</w:t>
      </w:r>
    </w:p>
    <w:p>
      <w:pPr>
        <w:pStyle w:val="BodyText"/>
      </w:pPr>
      <w:r>
        <w:rPr>
          <w:bCs/>
          <w:b/>
        </w:rPr>
        <w:t xml:space="preserve">For Meridian Education Consulting Group, LLC</w:t>
      </w:r>
    </w:p>
    <w:p>
      <w:pPr>
        <w:pStyle w:val="BodyText"/>
      </w:pPr>
      <w:r>
        <w:t xml:space="preserve">Authorized Representative</w:t>
      </w:r>
      <w:r>
        <w:br/>
      </w:r>
      <w:r>
        <w:t xml:space="preserve">Name / Title / Date</w:t>
      </w:r>
    </w:p>
    <w:p>
      <w:pPr>
        <w:pStyle w:val="BodyText"/>
      </w:pPr>
      <w:r>
        <w:rPr>
          <w:bCs/>
          <w:b/>
        </w:rPr>
        <w:t xml:space="preserve">For the Client Organization</w:t>
      </w:r>
    </w:p>
    <w:p>
      <w:pPr>
        <w:pStyle w:val="BodyText"/>
      </w:pPr>
      <w:r>
        <w:t xml:space="preserve">Authorized Representative</w:t>
      </w:r>
      <w:r>
        <w:br/>
      </w:r>
      <w:r>
        <w:t xml:space="preserve">Name / Title / Date</w:t>
      </w:r>
    </w:p>
    <w:p>
      <w:pPr>
        <w:pStyle w:val="BodyText"/>
      </w:pPr>
      <w:r>
        <w:t xml:space="preserve">Meridian Education Consulting Group, LLC | 1200 Smith Street, Suite 450, United States Houston, TX 77002 | Tel: (713) 555-0187 | Email: proposals@meridianeduconsulting.com</w:t>
      </w:r>
    </w:p>
    <w:p>
      <w:pPr>
        <w:pStyle w:val="BodyText"/>
      </w:pPr>
      <w:r>
        <w:t xml:space="preserve">This Quotation Estimate is the property of Meridian Education Consulting Group, LLC. Unauthorized reproduction or distribution is prohibited. Document QE-EDU-HOU-2025-0417.</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Education Administrator - United States Houston</dc:title>
  <dc:creator/>
  <dc:language>en</dc:language>
  <cp:keywords/>
  <dcterms:created xsi:type="dcterms:W3CDTF">2026-10-10T07:34:05Z</dcterms:created>
  <dcterms:modified xsi:type="dcterms:W3CDTF">2026-10-10T07:34:05Z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