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meridian-electrical-engineering-pty-ltd"/>
    <w:p>
      <w:pPr>
        <w:pStyle w:val="Heading1"/>
      </w:pPr>
      <w:r>
        <w:t xml:space="preserve">Meridian Electrical Engineering Pty Ltd</w:t>
      </w:r>
    </w:p>
    <w:p>
      <w:pPr>
        <w:pStyle w:val="FirstParagraph"/>
      </w:pPr>
      <w:r>
        <w:t xml:space="preserve">ABN: 48 231 654 789</w:t>
      </w:r>
    </w:p>
    <w:p>
      <w:pPr>
        <w:pStyle w:val="BodyText"/>
      </w:pPr>
      <w:r>
        <w:t xml:space="preserve">Level 12, 88 Collins Street, Melbourne VIC 3000, Australia</w:t>
      </w:r>
    </w:p>
    <w:p>
      <w:pPr>
        <w:pStyle w:val="BodyText"/>
      </w:pPr>
      <w:r>
        <w:t xml:space="preserve">Phone: +61 3 9421 5678 | Email: quotes@meridian-electrical.com.au</w:t>
      </w:r>
    </w:p>
    <w:p>
      <w:pPr>
        <w:pStyle w:val="BodyText"/>
      </w:pPr>
      <w:r>
        <w:t xml:space="preserve">Registered Electrical Contractor – VBA Licence No. 38472</w:t>
      </w:r>
    </w:p>
    <w:bookmarkEnd w:id="20"/>
    <w:bookmarkStart w:id="21" w:name="quotation-estimate"/>
    <w:p>
      <w:pPr>
        <w:pStyle w:val="Heading2"/>
      </w:pPr>
      <w:r>
        <w:t xml:space="preserve">QUOTATION ESTIMATE</w:t>
      </w:r>
    </w:p>
    <w:p>
      <w:pPr>
        <w:pStyle w:val="FirstParagraph"/>
      </w:pPr>
      <w:r>
        <w:t xml:space="preserve">Reference: QE-2025-04871</w:t>
      </w:r>
    </w:p>
    <w:p>
      <w:pPr>
        <w:pStyle w:val="BodyText"/>
      </w:pPr>
      <w:r>
        <w:t xml:space="preserve">Date Issued: 14 June 2025</w:t>
      </w:r>
    </w:p>
    <w:p>
      <w:pPr>
        <w:pStyle w:val="BodyText"/>
      </w:pPr>
      <w:r>
        <w:t xml:space="preserve">Valid Until: 14 July 2025</w:t>
      </w:r>
    </w:p>
    <w:bookmarkEnd w:id="21"/>
    <w:bookmarkStart w:id="22" w:name="client-information"/>
    <w:p>
      <w:pPr>
        <w:pStyle w:val="Heading3"/>
      </w:pPr>
      <w:r>
        <w:t xml:space="preserve">Client Information</w:t>
      </w:r>
    </w:p>
    <w:p>
      <w:pPr>
        <w:pStyle w:val="FirstParagraph"/>
      </w:pPr>
      <w:r>
        <w:rPr>
          <w:bCs/>
          <w:b/>
        </w:rPr>
        <w:t xml:space="preserve">Prepared For:</w:t>
      </w:r>
      <w:r>
        <w:t xml:space="preserve"> </w:t>
      </w:r>
      <w:r>
        <w:t xml:space="preserve">Mr. James Thornton</w:t>
      </w:r>
    </w:p>
    <w:p>
      <w:pPr>
        <w:pStyle w:val="BodyText"/>
      </w:pPr>
      <w:r>
        <w:rPr>
          <w:bCs/>
          <w:b/>
        </w:rPr>
        <w:t xml:space="preserve">Company:</w:t>
      </w:r>
      <w:r>
        <w:t xml:space="preserve"> </w:t>
      </w:r>
      <w:r>
        <w:t xml:space="preserve">Thornton Property Developments Ltd</w:t>
      </w:r>
    </w:p>
    <w:p>
      <w:pPr>
        <w:pStyle w:val="BodyText"/>
      </w:pPr>
      <w:r>
        <w:rPr>
          <w:bCs/>
          <w:b/>
        </w:rPr>
        <w:t xml:space="preserve">Address:</w:t>
      </w:r>
      <w:r>
        <w:t xml:space="preserve"> </w:t>
      </w:r>
      <w:r>
        <w:t xml:space="preserve">214 Swanston Street, Melbourne VIC 3000, Australia</w:t>
      </w:r>
    </w:p>
    <w:p>
      <w:pPr>
        <w:pStyle w:val="BodyText"/>
      </w:pPr>
      <w:r>
        <w:rPr>
          <w:bCs/>
          <w:b/>
        </w:rPr>
        <w:t xml:space="preserve">ABN:</w:t>
      </w:r>
      <w:r>
        <w:t xml:space="preserve"> </w:t>
      </w:r>
      <w:r>
        <w:t xml:space="preserve">12 987 654 321</w:t>
      </w:r>
    </w:p>
    <w:p>
      <w:pPr>
        <w:pStyle w:val="BodyText"/>
      </w:pPr>
      <w:r>
        <w:rPr>
          <w:bCs/>
          <w:b/>
        </w:rPr>
        <w:t xml:space="preserve">Project Site:</w:t>
      </w:r>
      <w:r>
        <w:t xml:space="preserve"> </w:t>
      </w:r>
      <w:r>
        <w:t xml:space="preserve">45 Flinders Lane, Melbourne VIC 3000</w:t>
      </w:r>
    </w:p>
    <w:p>
      <w:pPr>
        <w:pStyle w:val="BodyText"/>
      </w:pPr>
      <w:r>
        <w:rPr>
          <w:bCs/>
          <w:b/>
        </w:rPr>
        <w:t xml:space="preserve">Project Type:</w:t>
      </w:r>
      <w:r>
        <w:t xml:space="preserve"> </w:t>
      </w:r>
      <w:r>
        <w:t xml:space="preserve">Commercial Fit-Out – Level 3 &amp; 4</w:t>
      </w:r>
    </w:p>
    <w:p>
      <w:pPr>
        <w:pStyle w:val="BodyText"/>
      </w:pPr>
      <w:r>
        <w:rPr>
          <w:bCs/>
          <w:b/>
        </w:rPr>
        <w:t xml:space="preserve">Prepared By:</w:t>
      </w:r>
      <w:r>
        <w:t xml:space="preserve"> </w:t>
      </w:r>
      <w:r>
        <w:t xml:space="preserve">David Chen, Principal Electrical Engineer</w:t>
      </w:r>
    </w:p>
    <w:p>
      <w:pPr>
        <w:pStyle w:val="BodyText"/>
      </w:pPr>
      <w:r>
        <w:rPr>
          <w:bCs/>
          <w:b/>
        </w:rPr>
        <w:t xml:space="preserve">Contact:</w:t>
      </w:r>
      <w:r>
        <w:t xml:space="preserve"> </w:t>
      </w:r>
      <w:r>
        <w:t xml:space="preserve">d.chen@meridian-electrical.com.au</w:t>
      </w:r>
    </w:p>
    <w:bookmarkEnd w:id="22"/>
    <w:bookmarkStart w:id="23" w:name="X351fbaf4d27ab0df43a259f152e75f5ea5df9bf"/>
    <w:p>
      <w:pPr>
        <w:pStyle w:val="Heading3"/>
      </w:pPr>
      <w:r>
        <w:t xml:space="preserve">Scope of Work – Electrical Engineer Services</w:t>
      </w:r>
    </w:p>
    <w:p>
      <w:pPr>
        <w:pStyle w:val="FirstParagraph"/>
      </w:pPr>
      <w:r>
        <w:t xml:space="preserve">This</w:t>
      </w:r>
      <w:r>
        <w:t xml:space="preserve"> </w:t>
      </w:r>
      <w:r>
        <w:t xml:space="preserve">Quotation Estimate</w:t>
      </w:r>
      <w:r>
        <w:t xml:space="preserve"> </w:t>
      </w:r>
      <w:r>
        <w:t xml:space="preserve">is issued by Meridian Electrical Engineering Pty Ltd to provide a comprehensive and itemised cost breakdown for the professional services of a licensed</w:t>
      </w:r>
      <w:r>
        <w:t xml:space="preserve"> </w:t>
      </w:r>
      <w:r>
        <w:t xml:space="preserve">Electrical Engineer</w:t>
      </w:r>
      <w:r>
        <w:t xml:space="preserve"> </w:t>
      </w:r>
      <w:r>
        <w:t xml:space="preserve">engaged for the commercial fit-out project located in</w:t>
      </w:r>
      <w:r>
        <w:t xml:space="preserve"> </w:t>
      </w:r>
      <w:r>
        <w:t xml:space="preserve">Australia Melbourne</w:t>
      </w:r>
      <w:r>
        <w:t xml:space="preserve">. The scope encompasses all electrical design, engineering consultation, compliance verification, and site supervision activities required to deliver a fully compliant electrical installation in accordance with the Australian Wiring Rules (AS/NZS 3000:2018), the National Construction Code (NCC), and all applicable Victorian Building Authority (VBA) regulations.</w:t>
      </w:r>
    </w:p>
    <w:p>
      <w:pPr>
        <w:pStyle w:val="BodyText"/>
      </w:pPr>
      <w:r>
        <w:t xml:space="preserve">Our principal</w:t>
      </w:r>
      <w:r>
        <w:t xml:space="preserve"> </w:t>
      </w:r>
      <w:r>
        <w:t xml:space="preserve">Electrical Engineer</w:t>
      </w:r>
      <w:r>
        <w:t xml:space="preserve">, Mr. David Chen (CPEng, MIEAust, 18+ years' experience), will lead all engineering deliverables. All work will be performed within the Melbourne metropolitan area and in strict adherence to local council requirements for the City of Melbourne jurisdiction.</w:t>
      </w:r>
    </w:p>
    <w:bookmarkEnd w:id="23"/>
    <w:bookmarkStart w:id="24" w:name="itemised-cost-breakdown"/>
    <w:p>
      <w:pPr>
        <w:pStyle w:val="Heading3"/>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Rate (AUD)</w:t>
            </w:r>
          </w:p>
        </w:tc>
        <w:tc>
          <w:tcPr/>
          <w:p>
            <w:pPr>
              <w:pStyle w:val="Compact"/>
              <w:jc w:val="left"/>
            </w:pPr>
            <w:r>
              <w:t xml:space="preserve">Hours / Qty</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Initial site survey and electrical load assessment at the Melbourne project site, including existing infrastructure inspection and utility connection review</w:t>
            </w:r>
          </w:p>
        </w:tc>
        <w:tc>
          <w:tcPr/>
          <w:p>
            <w:pPr>
              <w:pStyle w:val="Compact"/>
              <w:jc w:val="left"/>
            </w:pPr>
            <w:r>
              <w:t xml:space="preserve">$185.00/hr</w:t>
            </w:r>
          </w:p>
        </w:tc>
        <w:tc>
          <w:tcPr/>
          <w:p>
            <w:pPr>
              <w:pStyle w:val="Compact"/>
              <w:jc w:val="left"/>
            </w:pPr>
            <w:r>
              <w:t xml:space="preserve">8 hrs</w:t>
            </w:r>
          </w:p>
        </w:tc>
        <w:tc>
          <w:tcPr/>
          <w:p>
            <w:pPr>
              <w:pStyle w:val="Compact"/>
              <w:jc w:val="left"/>
            </w:pPr>
            <w:r>
              <w:t xml:space="preserve">$1,480.00</w:t>
            </w:r>
          </w:p>
        </w:tc>
      </w:tr>
      <w:tr>
        <w:tc>
          <w:tcPr/>
          <w:p>
            <w:pPr>
              <w:pStyle w:val="Compact"/>
              <w:jc w:val="left"/>
            </w:pPr>
            <w:r>
              <w:t xml:space="preserve">2</w:t>
            </w:r>
          </w:p>
        </w:tc>
        <w:tc>
          <w:tcPr/>
          <w:p>
            <w:pPr>
              <w:pStyle w:val="Compact"/>
              <w:jc w:val="left"/>
            </w:pPr>
            <w:r>
              <w:t xml:space="preserve">Preparation of detailed single-line diagrams, circuit schedules, and electrical layout drawings for Levels 3 and 4 (commercial fit-out, approx. 1,200 m²)</w:t>
            </w:r>
          </w:p>
        </w:tc>
        <w:tc>
          <w:tcPr/>
          <w:p>
            <w:pPr>
              <w:pStyle w:val="Compact"/>
              <w:jc w:val="left"/>
            </w:pPr>
            <w:r>
              <w:t xml:space="preserve">$165.00/hr</w:t>
            </w:r>
          </w:p>
        </w:tc>
        <w:tc>
          <w:tcPr/>
          <w:p>
            <w:pPr>
              <w:pStyle w:val="Compact"/>
              <w:jc w:val="left"/>
            </w:pPr>
            <w:r>
              <w:t xml:space="preserve">40 hrs</w:t>
            </w:r>
          </w:p>
        </w:tc>
        <w:tc>
          <w:tcPr/>
          <w:p>
            <w:pPr>
              <w:pStyle w:val="Compact"/>
              <w:jc w:val="left"/>
            </w:pPr>
            <w:r>
              <w:t xml:space="preserve">$6,600.00</w:t>
            </w:r>
          </w:p>
        </w:tc>
      </w:tr>
      <w:tr>
        <w:tc>
          <w:tcPr/>
          <w:p>
            <w:pPr>
              <w:pStyle w:val="Compact"/>
              <w:jc w:val="left"/>
            </w:pPr>
            <w:r>
              <w:t xml:space="preserve">3</w:t>
            </w:r>
          </w:p>
        </w:tc>
        <w:tc>
          <w:tcPr/>
          <w:p>
            <w:pPr>
              <w:pStyle w:val="Compact"/>
              <w:jc w:val="left"/>
            </w:pPr>
            <w:r>
              <w:t xml:space="preserve">Electrical load calculation, power factor analysis, and harmonic assessment in compliance with AS/NZS 3000 and IEEE 519 standards</w:t>
            </w:r>
          </w:p>
        </w:tc>
        <w:tc>
          <w:tcPr/>
          <w:p>
            <w:pPr>
              <w:pStyle w:val="Compact"/>
              <w:jc w:val="left"/>
            </w:pPr>
            <w:r>
              <w:t xml:space="preserve">$165.00/hr</w:t>
            </w:r>
          </w:p>
        </w:tc>
        <w:tc>
          <w:tcPr/>
          <w:p>
            <w:pPr>
              <w:pStyle w:val="Compact"/>
              <w:jc w:val="left"/>
            </w:pPr>
            <w:r>
              <w:t xml:space="preserve">16 hrs</w:t>
            </w:r>
          </w:p>
        </w:tc>
        <w:tc>
          <w:tcPr/>
          <w:p>
            <w:pPr>
              <w:pStyle w:val="Compact"/>
              <w:jc w:val="left"/>
            </w:pPr>
            <w:r>
              <w:t xml:space="preserve">$2,640.00</w:t>
            </w:r>
          </w:p>
        </w:tc>
      </w:tr>
      <w:tr>
        <w:tc>
          <w:tcPr/>
          <w:p>
            <w:pPr>
              <w:pStyle w:val="Compact"/>
              <w:jc w:val="left"/>
            </w:pPr>
            <w:r>
              <w:t xml:space="preserve">4</w:t>
            </w:r>
          </w:p>
        </w:tc>
        <w:tc>
          <w:tcPr/>
          <w:p>
            <w:pPr>
              <w:pStyle w:val="Compact"/>
              <w:jc w:val="left"/>
            </w:pPr>
            <w:r>
              <w:t xml:space="preserve">Design of emergency lighting, fire alarm interface, and power backup (UPS/generator) systems per NCC Volume Two and AS 2293</w:t>
            </w:r>
          </w:p>
        </w:tc>
        <w:tc>
          <w:tcPr/>
          <w:p>
            <w:pPr>
              <w:pStyle w:val="Compact"/>
              <w:jc w:val="left"/>
            </w:pPr>
            <w:r>
              <w:t xml:space="preserve">$165.00/hr</w:t>
            </w:r>
          </w:p>
        </w:tc>
        <w:tc>
          <w:tcPr/>
          <w:p>
            <w:pPr>
              <w:pStyle w:val="Compact"/>
              <w:jc w:val="left"/>
            </w:pPr>
            <w:r>
              <w:t xml:space="preserve">24 hrs</w:t>
            </w:r>
          </w:p>
        </w:tc>
        <w:tc>
          <w:tcPr/>
          <w:p>
            <w:pPr>
              <w:pStyle w:val="Compact"/>
              <w:jc w:val="left"/>
            </w:pPr>
            <w:r>
              <w:t xml:space="preserve">$3,960.00</w:t>
            </w:r>
          </w:p>
        </w:tc>
      </w:tr>
      <w:tr>
        <w:tc>
          <w:tcPr/>
          <w:p>
            <w:pPr>
              <w:pStyle w:val="Compact"/>
              <w:jc w:val="left"/>
            </w:pPr>
            <w:r>
              <w:t xml:space="preserve">5</w:t>
            </w:r>
          </w:p>
        </w:tc>
        <w:tc>
          <w:tcPr/>
          <w:p>
            <w:pPr>
              <w:pStyle w:val="Compact"/>
              <w:jc w:val="left"/>
            </w:pPr>
            <w:r>
              <w:t xml:space="preserve">Preparation of electrical compliance documentation, Statement of Electrical Compliance (SEC), and submission to the City of Melbourne building surveyor</w:t>
            </w:r>
          </w:p>
        </w:tc>
        <w:tc>
          <w:tcPr/>
          <w:p>
            <w:pPr>
              <w:pStyle w:val="Compact"/>
              <w:jc w:val="left"/>
            </w:pPr>
            <w:r>
              <w:t xml:space="preserve">$145.00/hr</w:t>
            </w:r>
          </w:p>
        </w:tc>
        <w:tc>
          <w:tcPr/>
          <w:p>
            <w:pPr>
              <w:pStyle w:val="Compact"/>
              <w:jc w:val="left"/>
            </w:pPr>
            <w:r>
              <w:t xml:space="preserve">12 hrs</w:t>
            </w:r>
          </w:p>
        </w:tc>
        <w:tc>
          <w:tcPr/>
          <w:p>
            <w:pPr>
              <w:pStyle w:val="Compact"/>
              <w:jc w:val="left"/>
            </w:pPr>
            <w:r>
              <w:t xml:space="preserve">$1,740.00</w:t>
            </w:r>
          </w:p>
        </w:tc>
      </w:tr>
      <w:tr>
        <w:tc>
          <w:tcPr/>
          <w:p>
            <w:pPr>
              <w:pStyle w:val="Compact"/>
              <w:jc w:val="left"/>
            </w:pPr>
            <w:r>
              <w:t xml:space="preserve">6</w:t>
            </w:r>
          </w:p>
        </w:tc>
        <w:tc>
          <w:tcPr/>
          <w:p>
            <w:pPr>
              <w:pStyle w:val="Compact"/>
              <w:jc w:val="left"/>
            </w:pPr>
            <w:r>
              <w:t xml:space="preserve">Site supervision and progress inspections during installation phase (estimated 6 site visits over 8 weeks)</w:t>
            </w:r>
          </w:p>
        </w:tc>
        <w:tc>
          <w:tcPr/>
          <w:p>
            <w:pPr>
              <w:pStyle w:val="Compact"/>
              <w:jc w:val="left"/>
            </w:pPr>
            <w:r>
              <w:t xml:space="preserve">$185.00/hr</w:t>
            </w:r>
          </w:p>
        </w:tc>
        <w:tc>
          <w:tcPr/>
          <w:p>
            <w:pPr>
              <w:pStyle w:val="Compact"/>
              <w:jc w:val="left"/>
            </w:pPr>
            <w:r>
              <w:t xml:space="preserve">24 hrs</w:t>
            </w:r>
          </w:p>
        </w:tc>
        <w:tc>
          <w:tcPr/>
          <w:p>
            <w:pPr>
              <w:pStyle w:val="Compact"/>
              <w:jc w:val="left"/>
            </w:pPr>
            <w:r>
              <w:t xml:space="preserve">$4,440.00</w:t>
            </w:r>
          </w:p>
        </w:tc>
      </w:tr>
      <w:tr>
        <w:tc>
          <w:tcPr/>
          <w:p>
            <w:pPr>
              <w:pStyle w:val="Compact"/>
              <w:jc w:val="left"/>
            </w:pPr>
            <w:r>
              <w:t xml:space="preserve">7</w:t>
            </w:r>
          </w:p>
        </w:tc>
        <w:tc>
          <w:tcPr/>
          <w:p>
            <w:pPr>
              <w:pStyle w:val="Compact"/>
              <w:jc w:val="left"/>
            </w:pPr>
            <w:r>
              <w:t xml:space="preserve">Final testing, commissioning, and energisation of all electrical systems including insulation resistance, earth continuity, and RCD testing</w:t>
            </w:r>
          </w:p>
        </w:tc>
        <w:tc>
          <w:tcPr/>
          <w:p>
            <w:pPr>
              <w:pStyle w:val="Compact"/>
              <w:jc w:val="left"/>
            </w:pPr>
            <w:r>
              <w:t xml:space="preserve">$185.00/hr</w:t>
            </w:r>
          </w:p>
        </w:tc>
        <w:tc>
          <w:tcPr/>
          <w:p>
            <w:pPr>
              <w:pStyle w:val="Compact"/>
              <w:jc w:val="left"/>
            </w:pPr>
            <w:r>
              <w:t xml:space="preserve">16 hrs</w:t>
            </w:r>
          </w:p>
        </w:tc>
        <w:tc>
          <w:tcPr/>
          <w:p>
            <w:pPr>
              <w:pStyle w:val="Compact"/>
              <w:jc w:val="left"/>
            </w:pPr>
            <w:r>
              <w:t xml:space="preserve">$2,960.00</w:t>
            </w:r>
          </w:p>
        </w:tc>
      </w:tr>
      <w:tr>
        <w:tc>
          <w:tcPr/>
          <w:p>
            <w:pPr>
              <w:pStyle w:val="Compact"/>
              <w:jc w:val="left"/>
            </w:pPr>
            <w:r>
              <w:t xml:space="preserve">8</w:t>
            </w:r>
          </w:p>
        </w:tc>
        <w:tc>
          <w:tcPr/>
          <w:p>
            <w:pPr>
              <w:pStyle w:val="Compact"/>
              <w:jc w:val="left"/>
            </w:pPr>
            <w:r>
              <w:t xml:space="preserve">As-built documentation, O&amp;M manuals, and handover package for the client's facilities management team</w:t>
            </w:r>
          </w:p>
        </w:tc>
        <w:tc>
          <w:tcPr/>
          <w:p>
            <w:pPr>
              <w:pStyle w:val="Compact"/>
              <w:jc w:val="left"/>
            </w:pPr>
            <w:r>
              <w:t xml:space="preserve">$145.00/hr</w:t>
            </w:r>
          </w:p>
        </w:tc>
        <w:tc>
          <w:tcPr/>
          <w:p>
            <w:pPr>
              <w:pStyle w:val="Compact"/>
              <w:jc w:val="left"/>
            </w:pPr>
            <w:r>
              <w:t xml:space="preserve">10 hrs</w:t>
            </w:r>
          </w:p>
        </w:tc>
        <w:tc>
          <w:tcPr/>
          <w:p>
            <w:pPr>
              <w:pStyle w:val="Compact"/>
              <w:jc w:val="left"/>
            </w:pPr>
            <w:r>
              <w:t xml:space="preserve">$1,450.00</w:t>
            </w:r>
          </w:p>
        </w:tc>
      </w:tr>
      <w:tr>
        <w:tc>
          <w:tcPr/>
          <w:p>
            <w:pPr>
              <w:pStyle w:val="Compact"/>
              <w:jc w:val="left"/>
            </w:pPr>
            <w:r>
              <w:t xml:space="preserve">9</w:t>
            </w:r>
          </w:p>
        </w:tc>
        <w:tc>
          <w:tcPr/>
          <w:p>
            <w:pPr>
              <w:pStyle w:val="Compact"/>
              <w:jc w:val="left"/>
            </w:pPr>
            <w:r>
              <w:t xml:space="preserve">Travel and local transport within Melbourne metropolitan area (fuel, parking, tolls)</w:t>
            </w:r>
          </w:p>
        </w:tc>
        <w:tc>
          <w:tcPr/>
          <w:p>
            <w:pPr>
              <w:pStyle w:val="Compact"/>
              <w:jc w:val="left"/>
            </w:pPr>
            <w:r>
              <w:t xml:space="preserve">Flat rate</w:t>
            </w:r>
          </w:p>
        </w:tc>
        <w:tc>
          <w:tcPr/>
          <w:p>
            <w:pPr>
              <w:pStyle w:val="Compact"/>
              <w:jc w:val="left"/>
            </w:pPr>
            <w:r>
              <w:t xml:space="preserve">1</w:t>
            </w:r>
          </w:p>
        </w:tc>
        <w:tc>
          <w:tcPr/>
          <w:p>
            <w:pPr>
              <w:pStyle w:val="Compact"/>
              <w:jc w:val="left"/>
            </w:pPr>
            <w:r>
              <w:t xml:space="preserve">$620.00</w:t>
            </w:r>
          </w:p>
        </w:tc>
      </w:tr>
      <w:tr>
        <w:tc>
          <w:tcPr/>
          <w:p>
            <w:pPr>
              <w:pStyle w:val="Compact"/>
              <w:jc w:val="left"/>
            </w:pPr>
            <w:r>
              <w:t xml:space="preserve">10</w:t>
            </w:r>
          </w:p>
        </w:tc>
        <w:tc>
          <w:tcPr/>
          <w:p>
            <w:pPr>
              <w:pStyle w:val="Compact"/>
              <w:jc w:val="left"/>
            </w:pPr>
            <w:r>
              <w:t xml:space="preserve">Project management coordination, client meetings, and progress reporting (estimated 4 formal meetings)</w:t>
            </w:r>
          </w:p>
        </w:tc>
        <w:tc>
          <w:tcPr/>
          <w:p>
            <w:pPr>
              <w:pStyle w:val="Compact"/>
              <w:jc w:val="left"/>
            </w:pPr>
            <w:r>
              <w:t xml:space="preserve">$165.00/hr</w:t>
            </w:r>
          </w:p>
        </w:tc>
        <w:tc>
          <w:tcPr/>
          <w:p>
            <w:pPr>
              <w:pStyle w:val="Compact"/>
              <w:jc w:val="left"/>
            </w:pPr>
            <w:r>
              <w:t xml:space="preserve">8 hrs</w:t>
            </w:r>
          </w:p>
        </w:tc>
        <w:tc>
          <w:tcPr/>
          <w:p>
            <w:pPr>
              <w:pStyle w:val="Compact"/>
              <w:jc w:val="left"/>
            </w:pPr>
            <w:r>
              <w:t xml:space="preserve">$1,320.00</w:t>
            </w:r>
          </w:p>
        </w:tc>
      </w:tr>
      <w:tr>
        <w:tc>
          <w:tcPr>
            <w:gridSpan w:val="4"/>
          </w:tcPr>
          <w:p>
            <w:pPr>
              <w:pStyle w:val="Compact"/>
              <w:jc w:val="left"/>
            </w:pPr>
            <w:r>
              <w:t xml:space="preserve">Subtotal (excl. GST)</w:t>
            </w:r>
          </w:p>
        </w:tc>
        <w:tc>
          <w:tcPr/>
          <w:p>
            <w:pPr>
              <w:pStyle w:val="Compact"/>
              <w:jc w:val="left"/>
            </w:pPr>
            <w:r>
              <w:t xml:space="preserve">$27,210.00</w:t>
            </w:r>
          </w:p>
        </w:tc>
      </w:tr>
      <w:tr>
        <w:tc>
          <w:tcPr>
            <w:gridSpan w:val="4"/>
          </w:tcPr>
          <w:p>
            <w:pPr>
              <w:pStyle w:val="Compact"/>
              <w:jc w:val="left"/>
            </w:pPr>
            <w:r>
              <w:t xml:space="preserve">GST (10%)</w:t>
            </w:r>
          </w:p>
        </w:tc>
        <w:tc>
          <w:tcPr/>
          <w:p>
            <w:pPr>
              <w:pStyle w:val="Compact"/>
              <w:jc w:val="left"/>
            </w:pPr>
            <w:r>
              <w:t xml:space="preserve">$2,721.00</w:t>
            </w:r>
          </w:p>
        </w:tc>
      </w:tr>
      <w:tr>
        <w:tc>
          <w:tcPr>
            <w:gridSpan w:val="4"/>
          </w:tcPr>
          <w:p>
            <w:pPr>
              <w:pStyle w:val="Compact"/>
              <w:jc w:val="left"/>
            </w:pPr>
            <w:r>
              <w:t xml:space="preserve">TOTAL (incl. GST)</w:t>
            </w:r>
          </w:p>
        </w:tc>
        <w:tc>
          <w:tcPr/>
          <w:p>
            <w:pPr>
              <w:pStyle w:val="Compact"/>
              <w:jc w:val="left"/>
            </w:pPr>
            <w:r>
              <w:t xml:space="preserve">$29,931.00</w:t>
            </w:r>
          </w:p>
        </w:tc>
      </w:tr>
    </w:tbl>
    <w:bookmarkEnd w:id="24"/>
    <w:bookmarkStart w:id="25" w:name="payment-terms"/>
    <w:p>
      <w:pPr>
        <w:pStyle w:val="Heading3"/>
      </w:pPr>
      <w:r>
        <w:t xml:space="preserve">Payment Terms</w:t>
      </w:r>
    </w:p>
    <w:p>
      <w:pPr>
        <w:numPr>
          <w:ilvl w:val="0"/>
          <w:numId w:val="1001"/>
        </w:numPr>
        <w:pStyle w:val="Compact"/>
      </w:pPr>
      <w:r>
        <w:rPr>
          <w:bCs/>
          <w:b/>
        </w:rPr>
        <w:t xml:space="preserve">30% deposit</w:t>
      </w:r>
      <w:r>
        <w:t xml:space="preserve"> </w:t>
      </w:r>
      <w:r>
        <w:t xml:space="preserve">($8,979.30 incl. GST) due upon acceptance of this Quotation Estimate and execution of the service agreement.</w:t>
      </w:r>
    </w:p>
    <w:p>
      <w:pPr>
        <w:numPr>
          <w:ilvl w:val="0"/>
          <w:numId w:val="1001"/>
        </w:numPr>
        <w:pStyle w:val="Compact"/>
      </w:pPr>
      <w:r>
        <w:rPr>
          <w:bCs/>
          <w:b/>
        </w:rPr>
        <w:t xml:space="preserve">40% progress payment</w:t>
      </w:r>
      <w:r>
        <w:t xml:space="preserve"> </w:t>
      </w:r>
      <w:r>
        <w:t xml:space="preserve">($11,972.40 incl. GST) due upon completion of all design documentation and submission to the building surveyor.</w:t>
      </w:r>
    </w:p>
    <w:p>
      <w:pPr>
        <w:numPr>
          <w:ilvl w:val="0"/>
          <w:numId w:val="1001"/>
        </w:numPr>
        <w:pStyle w:val="Compact"/>
      </w:pPr>
      <w:r>
        <w:rPr>
          <w:bCs/>
          <w:b/>
        </w:rPr>
        <w:t xml:space="preserve">30% final payment</w:t>
      </w:r>
      <w:r>
        <w:t xml:space="preserve"> </w:t>
      </w:r>
      <w:r>
        <w:t xml:space="preserve">($8,979.30 incl. GST) due upon completion of commissioning, handover, and delivery of the as-built package.</w:t>
      </w:r>
    </w:p>
    <w:p>
      <w:pPr>
        <w:numPr>
          <w:ilvl w:val="0"/>
          <w:numId w:val="1001"/>
        </w:numPr>
        <w:pStyle w:val="Compact"/>
      </w:pPr>
      <w:r>
        <w:t xml:space="preserve">All invoices are payable within 14 calendar days of the invoice date. Late payments will attract interest at the rate prescribed under the Victorian</w:t>
      </w:r>
      <w:r>
        <w:t xml:space="preserve"> </w:t>
      </w:r>
      <w:r>
        <w:rPr>
          <w:iCs/>
          <w:i/>
        </w:rPr>
        <w:t xml:space="preserve">Building and Construction Industry Security of Payment Act 2002</w:t>
      </w:r>
      <w:r>
        <w:t xml:space="preserve">.</w:t>
      </w:r>
    </w:p>
    <w:bookmarkEnd w:id="25"/>
    <w:bookmarkStart w:id="26" w:name="terms-and-conditions"/>
    <w:p>
      <w:pPr>
        <w:pStyle w:val="Heading3"/>
      </w:pPr>
      <w:r>
        <w:t xml:space="preserve">Terms and Conditions</w:t>
      </w:r>
    </w:p>
    <w:p>
      <w:pPr>
        <w:numPr>
          <w:ilvl w:val="0"/>
          <w:numId w:val="1002"/>
        </w:numPr>
        <w:pStyle w:val="Compact"/>
      </w:pPr>
      <w:r>
        <w:t xml:space="preserve">This Quotation Estimate is valid for 30 days from the date of issue. Pricing is based on current market rates in Australia Melbourne and is subject to review if the project timeline extends beyond the estimated 12-week duration.</w:t>
      </w:r>
    </w:p>
    <w:p>
      <w:pPr>
        <w:numPr>
          <w:ilvl w:val="0"/>
          <w:numId w:val="1002"/>
        </w:numPr>
        <w:pStyle w:val="Compact"/>
      </w:pPr>
      <w:r>
        <w:t xml:space="preserve">All engineering services will be performed by a qualified and registered Electrical Engineer holding a CPEng designation and membership with Engineers Australia, in compliance with the</w:t>
      </w:r>
      <w:r>
        <w:t xml:space="preserve"> </w:t>
      </w:r>
      <w:r>
        <w:rPr>
          <w:iCs/>
          <w:i/>
        </w:rPr>
        <w:t xml:space="preserve">Engineers Australia Code of Conduct</w:t>
      </w:r>
      <w:r>
        <w:t xml:space="preserve">.</w:t>
      </w:r>
    </w:p>
    <w:p>
      <w:pPr>
        <w:numPr>
          <w:ilvl w:val="0"/>
          <w:numId w:val="1002"/>
        </w:numPr>
        <w:pStyle w:val="Compact"/>
      </w:pPr>
      <w:r>
        <w:t xml:space="preserve">The client is responsible for obtaining all necessary building permits, electrical permits, and council approvals from the City of Melbourne. Our team will provide all technical documentation required to support these applications.</w:t>
      </w:r>
    </w:p>
    <w:p>
      <w:pPr>
        <w:numPr>
          <w:ilvl w:val="0"/>
          <w:numId w:val="1002"/>
        </w:numPr>
        <w:pStyle w:val="Compact"/>
      </w:pPr>
      <w:r>
        <w:t xml:space="preserve">Any variations to the scope of work must be agreed in writing prior to commencement. Additional hours or services will be billed at the rates specified in this Quotation Estimate.</w:t>
      </w:r>
    </w:p>
    <w:p>
      <w:pPr>
        <w:numPr>
          <w:ilvl w:val="0"/>
          <w:numId w:val="1002"/>
        </w:numPr>
        <w:pStyle w:val="Compact"/>
      </w:pPr>
      <w:r>
        <w:t xml:space="preserve">Meridian Electrical Engineering Pty Ltd carries Professional Indemnity Insurance of $20,000,000 and Public Liability Insurance of $20,000,000, both compliant with Victorian regulatory requirements.</w:t>
      </w:r>
    </w:p>
    <w:p>
      <w:pPr>
        <w:numPr>
          <w:ilvl w:val="0"/>
          <w:numId w:val="1002"/>
        </w:numPr>
        <w:pStyle w:val="Compact"/>
      </w:pPr>
      <w:r>
        <w:t xml:space="preserve">All work will comply with the Australian Electrical and Electronic Engineering (AEEE) standards, the National Electrical Code (AS/NZS 3000), and all applicable Australian Standards.</w:t>
      </w:r>
    </w:p>
    <w:p>
      <w:pPr>
        <w:numPr>
          <w:ilvl w:val="0"/>
          <w:numId w:val="1002"/>
        </w:numPr>
        <w:pStyle w:val="Compact"/>
      </w:pPr>
      <w:r>
        <w:t xml:space="preserve">This Quotation Estimate does not include the cost of electrical materials, switchboards, cabling, or third-party testing by a separate electrical contractor unless specifically stated.</w:t>
      </w:r>
    </w:p>
    <w:p>
      <w:pPr>
        <w:numPr>
          <w:ilvl w:val="0"/>
          <w:numId w:val="1002"/>
        </w:numPr>
        <w:pStyle w:val="Compact"/>
      </w:pPr>
      <w:r>
        <w:t xml:space="preserve">Disputes arising from this engagement shall be resolved in accordance with the Victorian Civil and Administrative Tribunal (VCAT) procedures.</w:t>
      </w:r>
    </w:p>
    <w:bookmarkEnd w:id="26"/>
    <w:bookmarkStart w:id="27" w:name="acceptance-of-quotation-estimate"/>
    <w:p>
      <w:pPr>
        <w:pStyle w:val="Heading3"/>
      </w:pPr>
      <w:r>
        <w:t xml:space="preserve">Acceptance of Quotation Estimate</w:t>
      </w:r>
    </w:p>
    <w:p>
      <w:pPr>
        <w:pStyle w:val="FirstParagraph"/>
      </w:pPr>
      <w:r>
        <w:t xml:space="preserve">By signing below, the client acknowledges and accepts this Quotation Estimate for the Electrical Engineer services described herein. This acceptance constitutes a binding agreement between both parties for the scope, pricing, and terms outlined in this document.</w:t>
      </w:r>
    </w:p>
    <w:p>
      <w:pPr>
        <w:pStyle w:val="BodyText"/>
      </w:pPr>
      <w:r>
        <w:rPr>
          <w:bCs/>
          <w:b/>
        </w:rPr>
        <w:t xml:space="preserve">For: Meridian Electrical Engineering Pty Ltd</w:t>
      </w:r>
    </w:p>
    <w:p>
      <w:pPr>
        <w:pStyle w:val="BodyText"/>
      </w:pPr>
      <w:r>
        <w:t xml:space="preserve">Name: David Chen, Principal Electrical Engineer</w:t>
      </w:r>
    </w:p>
    <w:p>
      <w:pPr>
        <w:pStyle w:val="BodyText"/>
      </w:pPr>
      <w:r>
        <w:t xml:space="preserve">Date: ____________________</w:t>
      </w:r>
    </w:p>
    <w:p>
      <w:pPr>
        <w:pStyle w:val="BodyText"/>
      </w:pPr>
      <w:r>
        <w:rPr>
          <w:bCs/>
          <w:b/>
        </w:rPr>
        <w:t xml:space="preserve">For: Thornton Property Developments Ltd</w:t>
      </w:r>
    </w:p>
    <w:p>
      <w:pPr>
        <w:pStyle w:val="BodyText"/>
      </w:pPr>
      <w:r>
        <w:t xml:space="preserve">Name: James Thornton</w:t>
      </w:r>
    </w:p>
    <w:p>
      <w:pPr>
        <w:pStyle w:val="BodyText"/>
      </w:pPr>
      <w:r>
        <w:t xml:space="preserve">Date: ____________________</w:t>
      </w:r>
    </w:p>
    <w:bookmarkEnd w:id="27"/>
    <w:p>
      <w:pPr>
        <w:pStyle w:val="BodyText"/>
      </w:pPr>
      <w:r>
        <w:t xml:space="preserve">Meridian Electrical Engineering Pty Ltd | ABN 48 231 654 789 | Melbourne, Victoria, Australia</w:t>
      </w:r>
    </w:p>
    <w:p>
      <w:pPr>
        <w:pStyle w:val="BodyText"/>
      </w:pPr>
      <w:r>
        <w:t xml:space="preserve">This Quotation Estimate was prepared in accordance with Australian professional engineering standards. All amounts are in Australian Dollars (AUD).</w:t>
      </w:r>
    </w:p>
    <w:p>
      <w:pPr>
        <w:pStyle w:val="BodyText"/>
      </w:pPr>
      <w:r>
        <w:t xml:space="preserve">Document Reference: QE-2025-04871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Australia Melbourne</dc:title>
  <dc:creator/>
  <dc:language>en</dc:language>
  <cp:keywords/>
  <dcterms:created xsi:type="dcterms:W3CDTF">2026-10-10T02:09:06Z</dcterms:created>
  <dcterms:modified xsi:type="dcterms:W3CDTF">2026-10-10T02:09:06Z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