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Electrical Engineer Services</w:t>
      </w:r>
    </w:p>
    <w:p>
      <w:pPr>
        <w:pStyle w:val="BodyText"/>
      </w:pPr>
      <w:r>
        <w:t xml:space="preserve">Indonesia Jakarta — Special Capital Region of Jakarta (DKI Jakarta)</w:t>
      </w:r>
    </w:p>
    <w:bookmarkEnd w:id="20"/>
    <w:p>
      <w:pPr>
        <w:pStyle w:val="BodyText"/>
      </w:pPr>
      <w:r>
        <w:rPr>
          <w:bCs/>
          <w:b/>
        </w:rPr>
        <w:t xml:space="preserve">Quotation No.:</w:t>
      </w:r>
      <w:r>
        <w:t xml:space="preserve"> </w:t>
      </w:r>
      <w:r>
        <w:t xml:space="preserve">QE-JKT-2025-0487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PT Nusantara Elektrikal Engineering</w:t>
      </w:r>
      <w:r>
        <w:br/>
      </w:r>
      <w:r>
        <w:rPr>
          <w:bCs/>
          <w:b/>
        </w:rPr>
        <w:t xml:space="preserve">Address:</w:t>
      </w:r>
      <w:r>
        <w:t xml:space="preserve"> </w:t>
      </w:r>
      <w:r>
        <w:t xml:space="preserve">Jl. Jend. Sudirman Kav. 52-53, SCBD, Jakarta Selatan 12190</w:t>
      </w:r>
      <w:r>
        <w:br/>
      </w:r>
      <w:r>
        <w:rPr>
          <w:bCs/>
          <w:b/>
        </w:rPr>
        <w:t xml:space="preserve">Contact:</w:t>
      </w:r>
      <w:r>
        <w:t xml:space="preserve"> </w:t>
      </w:r>
      <w:r>
        <w:t xml:space="preserve">+62 21 520 8899 | info@nusantara-elektikal.co.id</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PT Graha Mandiri Property Development</w:t>
            </w:r>
          </w:p>
        </w:tc>
      </w:tr>
      <w:tr>
        <w:tc>
          <w:tcPr/>
          <w:p>
            <w:pPr>
              <w:pStyle w:val="Compact"/>
              <w:jc w:val="left"/>
            </w:pPr>
            <w:r>
              <w:t xml:space="preserve">Project Location</w:t>
            </w:r>
          </w:p>
        </w:tc>
        <w:tc>
          <w:tcPr/>
          <w:p>
            <w:pPr>
              <w:pStyle w:val="Compact"/>
              <w:jc w:val="left"/>
            </w:pPr>
            <w:r>
              <w:t xml:space="preserve">Jl. Gatot Subroto Kav. 28, Jakarta Selatan, Indonesia Jakarta 12950</w:t>
            </w:r>
          </w:p>
        </w:tc>
      </w:tr>
      <w:tr>
        <w:tc>
          <w:tcPr/>
          <w:p>
            <w:pPr>
              <w:pStyle w:val="Compact"/>
              <w:jc w:val="left"/>
            </w:pPr>
            <w:r>
              <w:t xml:space="preserve">Project Type</w:t>
            </w:r>
          </w:p>
        </w:tc>
        <w:tc>
          <w:tcPr/>
          <w:p>
            <w:pPr>
              <w:pStyle w:val="Compact"/>
              <w:jc w:val="left"/>
            </w:pPr>
            <w:r>
              <w:t xml:space="preserve">Commercial Office Building — 12 Floors</w:t>
            </w:r>
          </w:p>
        </w:tc>
      </w:tr>
      <w:tr>
        <w:tc>
          <w:tcPr/>
          <w:p>
            <w:pPr>
              <w:pStyle w:val="Compact"/>
              <w:jc w:val="left"/>
            </w:pPr>
            <w:r>
              <w:t xml:space="preserve">Point of Contact</w:t>
            </w:r>
          </w:p>
        </w:tc>
        <w:tc>
          <w:tcPr/>
          <w:p>
            <w:pPr>
              <w:pStyle w:val="Compact"/>
              <w:jc w:val="left"/>
            </w:pPr>
            <w:r>
              <w:t xml:space="preserve">Mr. Budi Santoso, Project Director</w:t>
            </w:r>
          </w:p>
        </w:tc>
      </w:tr>
    </w:tbl>
    <w:bookmarkEnd w:id="21"/>
    <w:bookmarkStart w:id="22" w:name="scope-of-electrical-engineer-services"/>
    <w:p>
      <w:pPr>
        <w:pStyle w:val="Heading2"/>
      </w:pPr>
      <w:r>
        <w:t xml:space="preserve">2. Scope of Electrical Engineer Services</w:t>
      </w:r>
    </w:p>
    <w:p>
      <w:pPr>
        <w:pStyle w:val="FirstParagraph"/>
      </w:pPr>
      <w:r>
        <w:t xml:space="preserve">This Quotation Estimate is issued by PT Nusantara Elektrikal Engineering to provide a comprehensive and itemized cost breakdown for the engagement of a licensed Electrical Engineer and supporting technical team. The scope of work covers the full electrical design, engineering consultation, and compliance verification for the above-referenced commercial building project situated in Indonesia Jakarta. All services are delivered in strict accordance with the Indonesian National Standard (SNI 0225-2000) for electrical installations, the local regulations of the Special Capital Region of Jakarta (DKI Jakarta), and the applicable codes enforced by the local electricity authority (PLN).</w:t>
      </w:r>
    </w:p>
    <w:p>
      <w:pPr>
        <w:pStyle w:val="BodyText"/>
      </w:pPr>
      <w:r>
        <w:t xml:space="preserve">The Electrical Engineer assigned to this project will hold a valid S1 (Bachelor's) degree in Electrical Engineering from an accredited Indonesian university, possess a minimum of ten (10) years of professional experience in commercial and industrial electrical systems, and maintain a current professional license (Sertifikat Keahlian) issued by the Indonesian Electrical Engineers Association (IAI). The Electrical Engineer will serve as the primary technical authority for all electrical design decisions, coordination with subcontractors, and final inspection sign-off throughout the project lifecycle in Indonesia Jakarta.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Electrical Engineer — Preliminary Design &amp; Load Calculation (all 12 floors, including HVAC, lighting, power distribution, and emergency systems)</w:t>
            </w:r>
          </w:p>
        </w:tc>
        <w:tc>
          <w:tcPr/>
          <w:p>
            <w:pPr>
              <w:pStyle w:val="Compact"/>
              <w:jc w:val="left"/>
            </w:pPr>
            <w:r>
              <w:t xml:space="preserve">3 weeks</w:t>
            </w:r>
          </w:p>
        </w:tc>
        <w:tc>
          <w:tcPr/>
          <w:p>
            <w:pPr>
              <w:pStyle w:val="Compact"/>
              <w:jc w:val="left"/>
            </w:pPr>
            <w:r>
              <w:t xml:space="preserve">Lump Sum</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Electrical Engineer — Detailed Engineering Drawings &amp; Single Line Diagrams (SLD) compliant with SNI and PLN technical specifications</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62,000,000</w:t>
            </w:r>
          </w:p>
        </w:tc>
        <w:tc>
          <w:tcPr/>
          <w:p>
            <w:pPr>
              <w:pStyle w:val="Compact"/>
              <w:jc w:val="left"/>
            </w:pPr>
            <w:r>
              <w:t xml:space="preserve">62,000,000</w:t>
            </w:r>
          </w:p>
        </w:tc>
      </w:tr>
      <w:tr>
        <w:tc>
          <w:tcPr/>
          <w:p>
            <w:pPr>
              <w:pStyle w:val="Compact"/>
              <w:jc w:val="left"/>
            </w:pPr>
            <w:r>
              <w:t xml:space="preserve">3</w:t>
            </w:r>
          </w:p>
        </w:tc>
        <w:tc>
          <w:tcPr/>
          <w:p>
            <w:pPr>
              <w:pStyle w:val="Compact"/>
              <w:jc w:val="left"/>
            </w:pPr>
            <w:r>
              <w:t xml:space="preserve">Electrical Engineer — Coordination Meetings with Architectural, Structural, and MEP Teams (minimum 8 sessions in Indonesia Jakarta)</w:t>
            </w:r>
          </w:p>
        </w:tc>
        <w:tc>
          <w:tcPr/>
          <w:p>
            <w:pPr>
              <w:pStyle w:val="Compact"/>
              <w:jc w:val="left"/>
            </w:pPr>
            <w:r>
              <w:t xml:space="preserve">12 weeks</w:t>
            </w:r>
          </w:p>
        </w:tc>
        <w:tc>
          <w:tcPr/>
          <w:p>
            <w:pPr>
              <w:pStyle w:val="Compact"/>
              <w:jc w:val="left"/>
            </w:pPr>
            <w:r>
              <w:t xml:space="preserve">Per Session</w:t>
            </w:r>
          </w:p>
        </w:tc>
        <w:tc>
          <w:tcPr/>
          <w:p>
            <w:pPr>
              <w:pStyle w:val="Compact"/>
              <w:jc w:val="left"/>
            </w:pPr>
            <w:r>
              <w:t xml:space="preserve">3,500,000</w:t>
            </w:r>
          </w:p>
        </w:tc>
        <w:tc>
          <w:tcPr/>
          <w:p>
            <w:pPr>
              <w:pStyle w:val="Compact"/>
              <w:jc w:val="left"/>
            </w:pPr>
            <w:r>
              <w:t xml:space="preserve">28,000,000</w:t>
            </w:r>
          </w:p>
        </w:tc>
      </w:tr>
      <w:tr>
        <w:tc>
          <w:tcPr/>
          <w:p>
            <w:pPr>
              <w:pStyle w:val="Compact"/>
              <w:jc w:val="left"/>
            </w:pPr>
            <w:r>
              <w:t xml:space="preserve">4</w:t>
            </w:r>
          </w:p>
        </w:tc>
        <w:tc>
          <w:tcPr/>
          <w:p>
            <w:pPr>
              <w:pStyle w:val="Compact"/>
              <w:jc w:val="left"/>
            </w:pPr>
            <w:r>
              <w:t xml:space="preserve">Electrical Engineer — Site Supervision &amp; Quality Assurance during Electrical Installation Phase</w:t>
            </w:r>
          </w:p>
        </w:tc>
        <w:tc>
          <w:tcPr/>
          <w:p>
            <w:pPr>
              <w:pStyle w:val="Compact"/>
              <w:jc w:val="left"/>
            </w:pPr>
            <w:r>
              <w:t xml:space="preserve">16 weeks</w:t>
            </w:r>
          </w:p>
        </w:tc>
        <w:tc>
          <w:tcPr/>
          <w:p>
            <w:pPr>
              <w:pStyle w:val="Compact"/>
              <w:jc w:val="left"/>
            </w:pPr>
            <w:r>
              <w:t xml:space="preserve">Per Week</w:t>
            </w:r>
          </w:p>
        </w:tc>
        <w:tc>
          <w:tcPr/>
          <w:p>
            <w:pPr>
              <w:pStyle w:val="Compact"/>
              <w:jc w:val="left"/>
            </w:pPr>
            <w:r>
              <w:t xml:space="preserve">8,500,000</w:t>
            </w:r>
          </w:p>
        </w:tc>
        <w:tc>
          <w:tcPr/>
          <w:p>
            <w:pPr>
              <w:pStyle w:val="Compact"/>
              <w:jc w:val="left"/>
            </w:pPr>
            <w:r>
              <w:t xml:space="preserve">136,000,000</w:t>
            </w:r>
          </w:p>
        </w:tc>
      </w:tr>
      <w:tr>
        <w:tc>
          <w:tcPr/>
          <w:p>
            <w:pPr>
              <w:pStyle w:val="Compact"/>
              <w:jc w:val="left"/>
            </w:pPr>
            <w:r>
              <w:t xml:space="preserve">5</w:t>
            </w:r>
          </w:p>
        </w:tc>
        <w:tc>
          <w:tcPr/>
          <w:p>
            <w:pPr>
              <w:pStyle w:val="Compact"/>
              <w:jc w:val="left"/>
            </w:pPr>
            <w:r>
              <w:t xml:space="preserve">Electrical Engineer — Commissioning, Testing &amp; Handover Documentation (including insulation resistance, earth continuity, and functional testing reports)</w:t>
            </w:r>
          </w:p>
        </w:tc>
        <w:tc>
          <w:tcPr/>
          <w:p>
            <w:pPr>
              <w:pStyle w:val="Compact"/>
              <w:jc w:val="left"/>
            </w:pPr>
            <w:r>
              <w:t xml:space="preserve">3 weeks</w:t>
            </w:r>
          </w:p>
        </w:tc>
        <w:tc>
          <w:tcPr/>
          <w:p>
            <w:pPr>
              <w:pStyle w:val="Compact"/>
              <w:jc w:val="left"/>
            </w:pPr>
            <w:r>
              <w:t xml:space="preserve">Lump Sum</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6</w:t>
            </w:r>
          </w:p>
        </w:tc>
        <w:tc>
          <w:tcPr/>
          <w:p>
            <w:pPr>
              <w:pStyle w:val="Compact"/>
              <w:jc w:val="left"/>
            </w:pPr>
            <w:r>
              <w:t xml:space="preserve">Electrical Engineer — Regulatory Compliance Filing with Dinas Perindustrian dan Energi DKI Jakarta and PLN connection approval</w:t>
            </w:r>
          </w:p>
        </w:tc>
        <w:tc>
          <w:tcPr/>
          <w:p>
            <w:pPr>
              <w:pStyle w:val="Compact"/>
              <w:jc w:val="left"/>
            </w:pPr>
            <w:r>
              <w:t xml:space="preserve">2 weeks</w:t>
            </w:r>
          </w:p>
        </w:tc>
        <w:tc>
          <w:tcPr/>
          <w:p>
            <w:pPr>
              <w:pStyle w:val="Compact"/>
              <w:jc w:val="left"/>
            </w:pPr>
            <w:r>
              <w:t xml:space="preserve">Lump Sum</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7</w:t>
            </w:r>
          </w:p>
        </w:tc>
        <w:tc>
          <w:tcPr/>
          <w:p>
            <w:pPr>
              <w:pStyle w:val="Compact"/>
              <w:jc w:val="left"/>
            </w:pPr>
            <w:r>
              <w:t xml:space="preserve">Supporting Technical Staff (2 Electrical Technicians) — Site Assistance</w:t>
            </w:r>
          </w:p>
        </w:tc>
        <w:tc>
          <w:tcPr/>
          <w:p>
            <w:pPr>
              <w:pStyle w:val="Compact"/>
              <w:jc w:val="left"/>
            </w:pPr>
            <w:r>
              <w:t xml:space="preserve">16 weeks</w:t>
            </w:r>
          </w:p>
        </w:tc>
        <w:tc>
          <w:tcPr/>
          <w:p>
            <w:pPr>
              <w:pStyle w:val="Compact"/>
              <w:jc w:val="left"/>
            </w:pPr>
            <w:r>
              <w:t xml:space="preserve">Per Week</w:t>
            </w:r>
          </w:p>
        </w:tc>
        <w:tc>
          <w:tcPr/>
          <w:p>
            <w:pPr>
              <w:pStyle w:val="Compact"/>
              <w:jc w:val="left"/>
            </w:pPr>
            <w:r>
              <w:t xml:space="preserve">4,200,000</w:t>
            </w:r>
          </w:p>
        </w:tc>
        <w:tc>
          <w:tcPr/>
          <w:p>
            <w:pPr>
              <w:pStyle w:val="Compact"/>
              <w:jc w:val="left"/>
            </w:pPr>
            <w:r>
              <w:t xml:space="preserve">67,200,000</w:t>
            </w:r>
          </w:p>
        </w:tc>
      </w:tr>
      <w:tr>
        <w:tc>
          <w:tcPr/>
          <w:p>
            <w:pPr>
              <w:pStyle w:val="Compact"/>
              <w:jc w:val="left"/>
            </w:pPr>
            <w:r>
              <w:t xml:space="preserve">8</w:t>
            </w:r>
          </w:p>
        </w:tc>
        <w:tc>
          <w:tcPr/>
          <w:p>
            <w:pPr>
              <w:pStyle w:val="Compact"/>
              <w:jc w:val="left"/>
            </w:pPr>
            <w:r>
              <w:t xml:space="preserve">Travel, Accommodation &amp; Local Transportation within Indonesia Jakarta (all project sites)</w:t>
            </w:r>
          </w:p>
        </w:tc>
        <w:tc>
          <w:tcPr/>
          <w:p>
            <w:pPr>
              <w:pStyle w:val="Compact"/>
              <w:jc w:val="left"/>
            </w:pPr>
            <w:r>
              <w:t xml:space="preserve">30 weeks</w:t>
            </w:r>
          </w:p>
        </w:tc>
        <w:tc>
          <w:tcPr/>
          <w:p>
            <w:pPr>
              <w:pStyle w:val="Compact"/>
              <w:jc w:val="left"/>
            </w:pPr>
            <w:r>
              <w:t xml:space="preserve">Lump Sum</w:t>
            </w:r>
          </w:p>
        </w:tc>
        <w:tc>
          <w:tcPr/>
          <w:p>
            <w:pPr>
              <w:pStyle w:val="Compact"/>
              <w:jc w:val="left"/>
            </w:pPr>
            <w:r>
              <w:t xml:space="preserve">12,000,000</w:t>
            </w:r>
          </w:p>
        </w:tc>
        <w:tc>
          <w:tcPr/>
          <w:p>
            <w:pPr>
              <w:pStyle w:val="Compact"/>
              <w:jc w:val="left"/>
            </w:pPr>
            <w:r>
              <w:t xml:space="preserve">12,000,000</w:t>
            </w:r>
          </w:p>
        </w:tc>
      </w:tr>
      <w:tr>
        <w:tc>
          <w:tcPr>
            <w:gridSpan w:val="5"/>
          </w:tcPr>
          <w:p>
            <w:pPr>
              <w:pStyle w:val="Compact"/>
              <w:jc w:val="left"/>
            </w:pPr>
            <w:r>
              <w:t xml:space="preserve">Subtotal</w:t>
            </w:r>
          </w:p>
        </w:tc>
        <w:tc>
          <w:tcPr/>
          <w:p>
            <w:pPr>
              <w:pStyle w:val="Compact"/>
              <w:jc w:val="left"/>
            </w:pPr>
            <w:r>
              <w:t xml:space="preserve">403,200,000</w:t>
            </w:r>
          </w:p>
        </w:tc>
      </w:tr>
      <w:tr>
        <w:tc>
          <w:tcPr>
            <w:gridSpan w:val="5"/>
          </w:tcPr>
          <w:p>
            <w:pPr>
              <w:pStyle w:val="Compact"/>
              <w:jc w:val="left"/>
            </w:pPr>
            <w:r>
              <w:t xml:space="preserve">VAT (PPN) — 11%</w:t>
            </w:r>
          </w:p>
        </w:tc>
        <w:tc>
          <w:tcPr/>
          <w:p>
            <w:pPr>
              <w:pStyle w:val="Compact"/>
              <w:jc w:val="left"/>
            </w:pPr>
            <w:r>
              <w:t xml:space="preserve">44,352,000</w:t>
            </w:r>
          </w:p>
        </w:tc>
      </w:tr>
      <w:tr>
        <w:tc>
          <w:tcPr>
            <w:gridSpan w:val="5"/>
          </w:tcPr>
          <w:p>
            <w:pPr>
              <w:pStyle w:val="Compact"/>
              <w:jc w:val="left"/>
            </w:pPr>
            <w:r>
              <w:t xml:space="preserve">TOTAL ESTIMATED COST</w:t>
            </w:r>
          </w:p>
        </w:tc>
        <w:tc>
          <w:tcPr/>
          <w:p>
            <w:pPr>
              <w:pStyle w:val="Compact"/>
              <w:jc w:val="left"/>
            </w:pPr>
            <w:r>
              <w:t xml:space="preserve">447,552,000</w:t>
            </w:r>
          </w:p>
        </w:tc>
      </w:tr>
    </w:tbl>
    <w:p>
      <w:pPr>
        <w:pStyle w:val="BodyText"/>
      </w:pPr>
      <w:r>
        <w:rPr>
          <w:iCs/>
          <w:i/>
        </w:rPr>
        <w:t xml:space="preserve">All amounts are stated in Indonesian Rupiah (IDR). The total estimated cost of this Quotation Estimate is IDR 447,552,000 (Four Hundred Forty-Seven Million Five Hundred Fifty-Two Thousand Rupiah), inclusive of 11% Value Added Tax (Pajak Pertambahan Nilai) as mandated by the Republic of Indonesia tax regulations.</w:t>
      </w:r>
    </w:p>
    <w:bookmarkEnd w:id="23"/>
    <w:bookmarkStart w:id="24" w:name="payment-terms"/>
    <w:p>
      <w:pPr>
        <w:pStyle w:val="Heading2"/>
      </w:pPr>
      <w:r>
        <w:t xml:space="preserve">4. Payment Terms</w:t>
      </w:r>
    </w:p>
    <w:p>
      <w:pPr>
        <w:pStyle w:val="FirstParagraph"/>
      </w:pPr>
      <w:r>
        <w:t xml:space="preserve">Payment for the services outlined in this Quotation Estimate shall be made in three (3) installments: (a) 30% advance payment upon contract signing; (b) 40% progress payment upon completion of detailed engineering drawings and approval by the client; and (c) 30% final payment upon successful commissioning, handover of all documentation, and issuance of the final Electrical Engineer sign-off certificate. All payments shall be transferred via bank transfer to the account of PT Nusantara Elektrikal Engineering, Bank Mandiri, Jakarta branch. Invoices will be issued in accordance with Indonesian tax invoice (Faktur Pajak) requirements.</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Beyond this period, pricing may be subject to revision due to market fluctuations in Indonesia Jakarta.</w:t>
      </w:r>
    </w:p>
    <w:p>
      <w:pPr>
        <w:numPr>
          <w:ilvl w:val="0"/>
          <w:numId w:val="1001"/>
        </w:numPr>
        <w:pStyle w:val="Compact"/>
      </w:pPr>
      <w:r>
        <w:t xml:space="preserve">The Electrical Engineer reserves the right to issue a revised Quotation Estimate should the project scope change by more than 15% from the originally agreed deliverables.</w:t>
      </w:r>
    </w:p>
    <w:p>
      <w:pPr>
        <w:numPr>
          <w:ilvl w:val="0"/>
          <w:numId w:val="1001"/>
        </w:numPr>
        <w:pStyle w:val="Compact"/>
      </w:pPr>
      <w:r>
        <w:t xml:space="preserve">All engineering deliverables, drawings, and documentation remain the intellectual property of PT Nusantara Elektrikal Engineering until full payment is received.</w:t>
      </w:r>
    </w:p>
    <w:p>
      <w:pPr>
        <w:numPr>
          <w:ilvl w:val="0"/>
          <w:numId w:val="1001"/>
        </w:numPr>
        <w:pStyle w:val="Compact"/>
      </w:pPr>
      <w:r>
        <w:t xml:space="preserve">The Electrical Engineer and supporting team shall comply with all occupational health and safety (K3) regulations applicable to construction sites in Indonesia Jakarta.</w:t>
      </w:r>
    </w:p>
    <w:p>
      <w:pPr>
        <w:numPr>
          <w:ilvl w:val="0"/>
          <w:numId w:val="1001"/>
        </w:numPr>
        <w:pStyle w:val="Compact"/>
      </w:pPr>
      <w:r>
        <w:t xml:space="preserve">Any disputes arising from this Quotation Estimate shall be resolved through mediation in accordance with the laws of the Republic of Indonesia, with jurisdiction in the Jakarta Central District Court.</w:t>
      </w:r>
    </w:p>
    <w:p>
      <w:pPr>
        <w:numPr>
          <w:ilvl w:val="0"/>
          <w:numId w:val="1001"/>
        </w:numPr>
        <w:pStyle w:val="Compact"/>
      </w:pPr>
      <w:r>
        <w:t xml:space="preserve">This Quotation Estimate does not constitute a binding contract until both parties have executed a formal Service Agreement (Perjanjian Kerja Sama).</w:t>
      </w:r>
    </w:p>
    <w:p>
      <w:pPr>
        <w:pStyle w:val="FirstParagraph"/>
      </w:pPr>
      <w:r>
        <w:rPr>
          <w:bCs/>
          <w:b/>
        </w:rPr>
        <w:t xml:space="preserve">Important Note:</w:t>
      </w:r>
      <w:r>
        <w:t xml:space="preserve"> </w:t>
      </w:r>
      <w:r>
        <w:t xml:space="preserve">This Quotation Estimate assumes standard working hours (Monday to Friday, 08:00–17:00 WIB) for all on-site activities in Indonesia Jakarta. Any work performed outside these hours, on weekends, or during public holidays as declared by the DKI Jakarta government will be billed at 1.5x the standard hourly rate. The client is responsible for providing safe access to all project floors and areas where the Electrical Engineer and team will conduct their duties.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scope, and pricing set forth in this Quotation Estimate for the Electrical Engineer services to be performed in Indonesia Jakarta.</w:t>
      </w:r>
    </w:p>
    <w:p>
      <w:pPr>
        <w:pStyle w:val="BodyText"/>
      </w:pPr>
      <w:r>
        <w:rPr>
          <w:bCs/>
          <w:b/>
        </w:rPr>
        <w:t xml:space="preserve">For PT Nusantara Elektrikal Engineering</w:t>
      </w:r>
    </w:p>
    <w:p>
      <w:pPr>
        <w:pStyle w:val="BodyText"/>
      </w:pPr>
      <w:r>
        <w:t xml:space="preserve">Ir. Hendra Wijaya, M.Eng.</w:t>
      </w:r>
      <w:r>
        <w:br/>
      </w:r>
      <w:r>
        <w:t xml:space="preserve">Lead Electrical Engineer</w:t>
      </w:r>
      <w:r>
        <w:br/>
      </w:r>
      <w:r>
        <w:t xml:space="preserve">IAI License No. 04521-JKT</w:t>
      </w:r>
    </w:p>
    <w:p>
      <w:pPr>
        <w:pStyle w:val="BodyText"/>
      </w:pPr>
      <w:r>
        <w:rPr>
          <w:bCs/>
          <w:b/>
        </w:rPr>
        <w:t xml:space="preserve">For PT Graha Mandiri Property Development</w:t>
      </w:r>
    </w:p>
    <w:p>
      <w:pPr>
        <w:pStyle w:val="BodyText"/>
      </w:pPr>
      <w:r>
        <w:t xml:space="preserve">Mr. Budi Santoso</w:t>
      </w:r>
      <w:r>
        <w:br/>
      </w:r>
      <w:r>
        <w:t xml:space="preserve">Project Director</w:t>
      </w:r>
      <w:r>
        <w:br/>
      </w:r>
      <w:r>
        <w:t xml:space="preserve">Authorized Signatory</w:t>
      </w:r>
    </w:p>
    <w:p>
      <w:pPr>
        <w:pStyle w:val="BodyText"/>
      </w:pPr>
      <w:r>
        <w:rPr>
          <w:bCs/>
          <w:b/>
        </w:rPr>
        <w:t xml:space="preserve">PT Nusantara Elektrikal Engineering</w:t>
      </w:r>
      <w:r>
        <w:t xml:space="preserve"> </w:t>
      </w:r>
      <w:r>
        <w:t xml:space="preserve">— Jl. Jend. Sudirman Kav. 52-53, SCBD, Jakarta Selatan 12190, Indonesia Jakarta. Telp: +62 21 520 8899 | Email: info@nusantara-elektikal.co.id | NPWP: 01.234.567.8-011.000</w:t>
      </w:r>
    </w:p>
    <w:p>
      <w:pPr>
        <w:pStyle w:val="BodyText"/>
      </w:pPr>
      <w:r>
        <w:t xml:space="preserve">This Quotation Estimate document was generated electronically and is valid without a physical stamp. For verification, please contact our office during business hours. © 2025 PT Nusantara Elektrikal Engineering.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Indonesia Jakarta</dc:title>
  <dc:creator/>
  <dc:language>en</dc:language>
  <cp:keywords/>
  <dcterms:created xsi:type="dcterms:W3CDTF">2026-10-10T05:08:16Z</dcterms:created>
  <dcterms:modified xsi:type="dcterms:W3CDTF">2026-10-10T05:08:16Z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