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Electrical</w:t>
      </w:r>
      <w:r>
        <w:t xml:space="preserve"> </w:t>
      </w:r>
      <w:r>
        <w:t xml:space="preserve">Engineer</w:t>
      </w:r>
      <w:r>
        <w:t xml:space="preserve"> </w:t>
      </w:r>
      <w:r>
        <w:t xml:space="preserve">Services</w:t>
      </w:r>
      <w:r>
        <w:t xml:space="preserve"> </w:t>
      </w:r>
      <w:r>
        <w:t xml:space="preserve">-</w:t>
      </w:r>
      <w:r>
        <w:t xml:space="preserve"> </w:t>
      </w:r>
      <w:r>
        <w:t xml:space="preserve">Iran</w:t>
      </w:r>
      <w:r>
        <w:t xml:space="preserve"> </w:t>
      </w:r>
      <w:r>
        <w:t xml:space="preserve">Tehran</w:t>
      </w:r>
    </w:p>
    <w:bookmarkStart w:id="20" w:name="quotation-estimate"/>
    <w:p>
      <w:pPr>
        <w:pStyle w:val="Heading1"/>
      </w:pPr>
      <w:r>
        <w:t xml:space="preserve">Quotation Estimate</w:t>
      </w:r>
    </w:p>
    <w:p>
      <w:pPr>
        <w:pStyle w:val="FirstParagraph"/>
      </w:pPr>
      <w:r>
        <w:rPr>
          <w:bCs/>
          <w:b/>
        </w:rPr>
        <w:t xml:space="preserve">Tehran Electrical Engineering Solutions Co., Ltd.</w:t>
      </w:r>
    </w:p>
    <w:p>
      <w:pPr>
        <w:pStyle w:val="BodyText"/>
      </w:pPr>
      <w:r>
        <w:t xml:space="preserve">Address: Valiasr Street, District 1, Tehran, Iran</w:t>
      </w:r>
    </w:p>
    <w:p>
      <w:pPr>
        <w:pStyle w:val="BodyText"/>
      </w:pPr>
      <w:r>
        <w:t xml:space="preserve">Phone: +98-21-8876-5432 | Email: info@tehraneleceng.ir</w:t>
      </w:r>
    </w:p>
    <w:p>
      <w:pPr>
        <w:pStyle w:val="BodyText"/>
      </w:pPr>
      <w:r>
        <w:t xml:space="preserve">Registration No. 4521-887 | National ID: 1024567890</w:t>
      </w:r>
    </w:p>
    <w:bookmarkEnd w:id="20"/>
    <w:p>
      <w:pPr>
        <w:pStyle w:val="BodyText"/>
      </w:pPr>
      <w:r>
        <w:rPr>
          <w:bCs/>
          <w:b/>
        </w:rPr>
        <w:t xml:space="preserve">Quotation No.:</w:t>
      </w:r>
      <w:r>
        <w:t xml:space="preserve"> </w:t>
      </w:r>
      <w:r>
        <w:t xml:space="preserve">QTE-2025-TEH-0347</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Project Location:</w:t>
      </w:r>
      <w:r>
        <w:t xml:space="preserve"> </w:t>
      </w:r>
      <w:r>
        <w:t xml:space="preserve">Iran Tehran</w:t>
      </w:r>
    </w:p>
    <w:p>
      <w:pPr>
        <w:pStyle w:val="BodyText"/>
      </w:pPr>
      <w:r>
        <w:t xml:space="preserve">1. Client Information</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Client Name:</w:t>
            </w:r>
            <w:r>
              <w:t xml:space="preserve"> </w:t>
            </w:r>
            <w:r>
              <w:t xml:space="preserve">Mr. Ahmad Reza Karimi</w:t>
            </w:r>
          </w:p>
        </w:tc>
        <w:tc>
          <w:tcPr/>
          <w:p>
            <w:pPr>
              <w:pStyle w:val="Compact"/>
              <w:jc w:val="left"/>
            </w:pPr>
            <w:r>
              <w:rPr>
                <w:bCs/>
                <w:b/>
              </w:rPr>
              <w:t xml:space="preserve">Client ID:</w:t>
            </w:r>
            <w:r>
              <w:t xml:space="preserve"> </w:t>
            </w:r>
            <w:r>
              <w:t xml:space="preserve">CL-2025-0891</w:t>
            </w:r>
          </w:p>
        </w:tc>
      </w:tr>
      <w:tr>
        <w:tc>
          <w:tcPr/>
          <w:p>
            <w:pPr>
              <w:pStyle w:val="Compact"/>
              <w:jc w:val="left"/>
            </w:pPr>
            <w:r>
              <w:rPr>
                <w:bCs/>
                <w:b/>
              </w:rPr>
              <w:t xml:space="preserve">Address:</w:t>
            </w:r>
            <w:r>
              <w:t xml:space="preserve"> </w:t>
            </w:r>
            <w:r>
              <w:t xml:space="preserve">Enghelab Street, District 6, Iran Tehran</w:t>
            </w:r>
          </w:p>
        </w:tc>
        <w:tc>
          <w:tcPr/>
          <w:p>
            <w:pPr>
              <w:pStyle w:val="Compact"/>
              <w:jc w:val="left"/>
            </w:pPr>
            <w:r>
              <w:rPr>
                <w:bCs/>
                <w:b/>
              </w:rPr>
              <w:t xml:space="preserve">Contact:</w:t>
            </w:r>
            <w:r>
              <w:t xml:space="preserve"> </w:t>
            </w:r>
            <w:r>
              <w:t xml:space="preserve">+98-912-345-6789</w:t>
            </w:r>
          </w:p>
        </w:tc>
      </w:tr>
      <w:tr>
        <w:tc>
          <w:tcPr/>
          <w:p>
            <w:pPr>
              <w:pStyle w:val="Compact"/>
              <w:jc w:val="left"/>
            </w:pPr>
            <w:r>
              <w:rPr>
                <w:bCs/>
                <w:b/>
              </w:rPr>
              <w:t xml:space="preserve">Project Type:</w:t>
            </w:r>
            <w:r>
              <w:t xml:space="preserve"> </w:t>
            </w:r>
            <w:r>
              <w:t xml:space="preserve">Commercial Building Electrical System Design &amp; Installation</w:t>
            </w:r>
          </w:p>
        </w:tc>
        <w:tc>
          <w:tcPr/>
          <w:p>
            <w:pPr>
              <w:pStyle w:val="Compact"/>
              <w:jc w:val="left"/>
            </w:pPr>
            <w:r>
              <w:rPr>
                <w:bCs/>
                <w:b/>
              </w:rPr>
              <w:t xml:space="preserve">Building Size:</w:t>
            </w:r>
            <w:r>
              <w:t xml:space="preserve"> </w:t>
            </w:r>
            <w:r>
              <w:t xml:space="preserve">4,200 sqm (6 floors)</w:t>
            </w:r>
          </w:p>
        </w:tc>
      </w:tr>
    </w:tbl>
    <w:p>
      <w:pPr>
        <w:pStyle w:val="BodyText"/>
      </w:pPr>
      <w:r>
        <w:t xml:space="preserve">2. Scope of Work – Electrical Engineer Services</w:t>
      </w:r>
    </w:p>
    <w:p>
      <w:pPr>
        <w:pStyle w:val="BodyText"/>
      </w:pPr>
      <w:r>
        <w:t xml:space="preserve">This</w:t>
      </w:r>
      <w:r>
        <w:t xml:space="preserve"> </w:t>
      </w:r>
      <w:r>
        <w:t xml:space="preserve">Quotation Estimate</w:t>
      </w:r>
      <w:r>
        <w:t xml:space="preserve"> </w:t>
      </w:r>
      <w:r>
        <w:t xml:space="preserve">is prepared by our licensed</w:t>
      </w:r>
      <w:r>
        <w:t xml:space="preserve"> </w:t>
      </w:r>
      <w:r>
        <w:t xml:space="preserve">Electrical Engineer</w:t>
      </w:r>
      <w:r>
        <w:t xml:space="preserve"> </w:t>
      </w:r>
      <w:r>
        <w:t xml:space="preserve">team to provide comprehensive electrical design, consultation, and supervision services for the above-referenced commercial building project located in</w:t>
      </w:r>
      <w:r>
        <w:t xml:space="preserve"> </w:t>
      </w:r>
      <w:r>
        <w:t xml:space="preserve">Iran Tehran</w:t>
      </w:r>
      <w:r>
        <w:t xml:space="preserve">. The scope encompasses all phases of electrical engineering work in compliance with the Iranian National Building Code (Standard 299), the Tehran Municipality Electrical Regulations, and IEC international standards as adopted for use in Iran Tehran.</w:t>
      </w:r>
    </w:p>
    <w:p>
      <w:pPr>
        <w:pStyle w:val="BodyText"/>
      </w:pPr>
      <w:r>
        <w:t xml:space="preserve">Our</w:t>
      </w:r>
      <w:r>
        <w:t xml:space="preserve"> </w:t>
      </w:r>
      <w:r>
        <w:t xml:space="preserve">Electrical Engineer</w:t>
      </w:r>
      <w:r>
        <w:t xml:space="preserve"> </w:t>
      </w:r>
      <w:r>
        <w:t xml:space="preserve">will be responsible for the complete design of the low-voltage and medium-voltage distribution systems, lighting design, power distribution, earthing and lightning protection, fire alarm systems, and building management system integration. All deliverables will be prepared specifically for the regulatory and climatic conditions of Iran Tehran, including consideration of the local grid voltage (230V/400V, 50Hz) and the specific load factors applicable to commercial buildings in the Tehran metropolitan area.</w:t>
      </w:r>
    </w:p>
    <w:p>
      <w:pPr>
        <w:pStyle w:val="BodyText"/>
      </w:pPr>
      <w:r>
        <w:t xml:space="preserve">3.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Unit Price (IRR)</w:t>
            </w:r>
          </w:p>
        </w:tc>
        <w:tc>
          <w:tcPr/>
          <w:p>
            <w:pPr>
              <w:pStyle w:val="Compact"/>
              <w:jc w:val="left"/>
            </w:pPr>
            <w:r>
              <w:t xml:space="preserve">Total (IRR)</w:t>
            </w:r>
          </w:p>
        </w:tc>
      </w:tr>
      <w:tr>
        <w:tc>
          <w:tcPr/>
          <w:p>
            <w:pPr>
              <w:pStyle w:val="Compact"/>
              <w:jc w:val="left"/>
            </w:pPr>
            <w:r>
              <w:t xml:space="preserve">1</w:t>
            </w:r>
          </w:p>
        </w:tc>
        <w:tc>
          <w:tcPr/>
          <w:p>
            <w:pPr>
              <w:pStyle w:val="Compact"/>
              <w:jc w:val="left"/>
            </w:pPr>
            <w:r>
              <w:t xml:space="preserve">Site survey and load assessment by licensed Electrical Engineer in Iran Tehran</w:t>
            </w:r>
          </w:p>
        </w:tc>
        <w:tc>
          <w:tcPr/>
          <w:p>
            <w:pPr>
              <w:pStyle w:val="Compact"/>
              <w:jc w:val="left"/>
            </w:pPr>
            <w:r>
              <w:t xml:space="preserve">1 Lot</w:t>
            </w:r>
          </w:p>
        </w:tc>
        <w:tc>
          <w:tcPr/>
          <w:p>
            <w:pPr>
              <w:pStyle w:val="Compact"/>
              <w:jc w:val="left"/>
            </w:pPr>
            <w:r>
              <w:t xml:space="preserve">45,000,000</w:t>
            </w:r>
          </w:p>
        </w:tc>
        <w:tc>
          <w:tcPr/>
          <w:p>
            <w:pPr>
              <w:pStyle w:val="Compact"/>
              <w:jc w:val="left"/>
            </w:pPr>
            <w:r>
              <w:t xml:space="preserve">45,000,000</w:t>
            </w:r>
          </w:p>
        </w:tc>
      </w:tr>
      <w:tr>
        <w:tc>
          <w:tcPr/>
          <w:p>
            <w:pPr>
              <w:pStyle w:val="Compact"/>
              <w:jc w:val="left"/>
            </w:pPr>
            <w:r>
              <w:t xml:space="preserve">2</w:t>
            </w:r>
          </w:p>
        </w:tc>
        <w:tc>
          <w:tcPr/>
          <w:p>
            <w:pPr>
              <w:pStyle w:val="Compact"/>
              <w:jc w:val="left"/>
            </w:pPr>
            <w:r>
              <w:t xml:space="preserve">Complete electrical design (single-line diagrams, load calculations, cable sizing) – 6 floors</w:t>
            </w:r>
          </w:p>
        </w:tc>
        <w:tc>
          <w:tcPr/>
          <w:p>
            <w:pPr>
              <w:pStyle w:val="Compact"/>
              <w:jc w:val="left"/>
            </w:pPr>
            <w:r>
              <w:t xml:space="preserve">1 Lot</w:t>
            </w:r>
          </w:p>
        </w:tc>
        <w:tc>
          <w:tcPr/>
          <w:p>
            <w:pPr>
              <w:pStyle w:val="Compact"/>
              <w:jc w:val="left"/>
            </w:pPr>
            <w:r>
              <w:t xml:space="preserve">380,000,000</w:t>
            </w:r>
          </w:p>
        </w:tc>
        <w:tc>
          <w:tcPr/>
          <w:p>
            <w:pPr>
              <w:pStyle w:val="Compact"/>
              <w:jc w:val="left"/>
            </w:pPr>
            <w:r>
              <w:t xml:space="preserve">380,000,000</w:t>
            </w:r>
          </w:p>
        </w:tc>
      </w:tr>
      <w:tr>
        <w:tc>
          <w:tcPr/>
          <w:p>
            <w:pPr>
              <w:pStyle w:val="Compact"/>
              <w:jc w:val="left"/>
            </w:pPr>
            <w:r>
              <w:t xml:space="preserve">3</w:t>
            </w:r>
          </w:p>
        </w:tc>
        <w:tc>
          <w:tcPr/>
          <w:p>
            <w:pPr>
              <w:pStyle w:val="Compact"/>
              <w:jc w:val="left"/>
            </w:pPr>
            <w:r>
              <w:t xml:space="preserve">Lighting design and energy efficiency analysis per Tehran Municipality standards</w:t>
            </w:r>
          </w:p>
        </w:tc>
        <w:tc>
          <w:tcPr/>
          <w:p>
            <w:pPr>
              <w:pStyle w:val="Compact"/>
              <w:jc w:val="left"/>
            </w:pPr>
            <w:r>
              <w:t xml:space="preserve">1 Lot</w:t>
            </w:r>
          </w:p>
        </w:tc>
        <w:tc>
          <w:tcPr/>
          <w:p>
            <w:pPr>
              <w:pStyle w:val="Compact"/>
              <w:jc w:val="left"/>
            </w:pPr>
            <w:r>
              <w:t xml:space="preserve">120,000,000</w:t>
            </w:r>
          </w:p>
        </w:tc>
        <w:tc>
          <w:tcPr/>
          <w:p>
            <w:pPr>
              <w:pStyle w:val="Compact"/>
              <w:jc w:val="left"/>
            </w:pPr>
            <w:r>
              <w:t xml:space="preserve">120,000,000</w:t>
            </w:r>
          </w:p>
        </w:tc>
      </w:tr>
      <w:tr>
        <w:tc>
          <w:tcPr/>
          <w:p>
            <w:pPr>
              <w:pStyle w:val="Compact"/>
              <w:jc w:val="left"/>
            </w:pPr>
            <w:r>
              <w:t xml:space="preserve">4</w:t>
            </w:r>
          </w:p>
        </w:tc>
        <w:tc>
          <w:tcPr/>
          <w:p>
            <w:pPr>
              <w:pStyle w:val="Compact"/>
              <w:jc w:val="left"/>
            </w:pPr>
            <w:r>
              <w:t xml:space="preserve">Earthing, lightning protection, and surge protection design</w:t>
            </w:r>
          </w:p>
        </w:tc>
        <w:tc>
          <w:tcPr/>
          <w:p>
            <w:pPr>
              <w:pStyle w:val="Compact"/>
              <w:jc w:val="left"/>
            </w:pPr>
            <w:r>
              <w:t xml:space="preserve">1 Lot</w:t>
            </w:r>
          </w:p>
        </w:tc>
        <w:tc>
          <w:tcPr/>
          <w:p>
            <w:pPr>
              <w:pStyle w:val="Compact"/>
              <w:jc w:val="left"/>
            </w:pPr>
            <w:r>
              <w:t xml:space="preserve">85,000,000</w:t>
            </w:r>
          </w:p>
        </w:tc>
        <w:tc>
          <w:tcPr/>
          <w:p>
            <w:pPr>
              <w:pStyle w:val="Compact"/>
              <w:jc w:val="left"/>
            </w:pPr>
            <w:r>
              <w:t xml:space="preserve">85,000,000</w:t>
            </w:r>
          </w:p>
        </w:tc>
      </w:tr>
      <w:tr>
        <w:tc>
          <w:tcPr/>
          <w:p>
            <w:pPr>
              <w:pStyle w:val="Compact"/>
              <w:jc w:val="left"/>
            </w:pPr>
            <w:r>
              <w:t xml:space="preserve">5</w:t>
            </w:r>
          </w:p>
        </w:tc>
        <w:tc>
          <w:tcPr/>
          <w:p>
            <w:pPr>
              <w:pStyle w:val="Compact"/>
              <w:jc w:val="left"/>
            </w:pPr>
            <w:r>
              <w:t xml:space="preserve">Fire alarm and emergency power system design</w:t>
            </w:r>
          </w:p>
        </w:tc>
        <w:tc>
          <w:tcPr/>
          <w:p>
            <w:pPr>
              <w:pStyle w:val="Compact"/>
              <w:jc w:val="left"/>
            </w:pPr>
            <w:r>
              <w:t xml:space="preserve">1 Lot</w:t>
            </w:r>
          </w:p>
        </w:tc>
        <w:tc>
          <w:tcPr/>
          <w:p>
            <w:pPr>
              <w:pStyle w:val="Compact"/>
              <w:jc w:val="left"/>
            </w:pPr>
            <w:r>
              <w:t xml:space="preserve">95,000,000</w:t>
            </w:r>
          </w:p>
        </w:tc>
        <w:tc>
          <w:tcPr/>
          <w:p>
            <w:pPr>
              <w:pStyle w:val="Compact"/>
              <w:jc w:val="left"/>
            </w:pPr>
            <w:r>
              <w:t xml:space="preserve">95,000,000</w:t>
            </w:r>
          </w:p>
        </w:tc>
      </w:tr>
      <w:tr>
        <w:tc>
          <w:tcPr/>
          <w:p>
            <w:pPr>
              <w:pStyle w:val="Compact"/>
              <w:jc w:val="left"/>
            </w:pPr>
            <w:r>
              <w:t xml:space="preserve">6</w:t>
            </w:r>
          </w:p>
        </w:tc>
        <w:tc>
          <w:tcPr/>
          <w:p>
            <w:pPr>
              <w:pStyle w:val="Compact"/>
              <w:jc w:val="left"/>
            </w:pPr>
            <w:r>
              <w:t xml:space="preserve">Construction supervision by Electrical Engineer (full project duration, 14 months)</w:t>
            </w:r>
          </w:p>
        </w:tc>
        <w:tc>
          <w:tcPr/>
          <w:p>
            <w:pPr>
              <w:pStyle w:val="Compact"/>
              <w:jc w:val="left"/>
            </w:pPr>
            <w:r>
              <w:t xml:space="preserve">14 Months</w:t>
            </w:r>
          </w:p>
        </w:tc>
        <w:tc>
          <w:tcPr/>
          <w:p>
            <w:pPr>
              <w:pStyle w:val="Compact"/>
              <w:jc w:val="left"/>
            </w:pPr>
            <w:r>
              <w:t xml:space="preserve">65,000,000</w:t>
            </w:r>
          </w:p>
        </w:tc>
        <w:tc>
          <w:tcPr/>
          <w:p>
            <w:pPr>
              <w:pStyle w:val="Compact"/>
              <w:jc w:val="left"/>
            </w:pPr>
            <w:r>
              <w:t xml:space="preserve">910,000,000</w:t>
            </w:r>
          </w:p>
        </w:tc>
      </w:tr>
      <w:tr>
        <w:tc>
          <w:tcPr/>
          <w:p>
            <w:pPr>
              <w:pStyle w:val="Compact"/>
              <w:jc w:val="left"/>
            </w:pPr>
            <w:r>
              <w:t xml:space="preserve">7</w:t>
            </w:r>
          </w:p>
        </w:tc>
        <w:tc>
          <w:tcPr/>
          <w:p>
            <w:pPr>
              <w:pStyle w:val="Compact"/>
              <w:jc w:val="left"/>
            </w:pPr>
            <w:r>
              <w:t xml:space="preserve">As-built documentation and final commissioning report</w:t>
            </w:r>
          </w:p>
        </w:tc>
        <w:tc>
          <w:tcPr/>
          <w:p>
            <w:pPr>
              <w:pStyle w:val="Compact"/>
              <w:jc w:val="left"/>
            </w:pPr>
            <w:r>
              <w:t xml:space="preserve">1 Lot</w:t>
            </w:r>
          </w:p>
        </w:tc>
        <w:tc>
          <w:tcPr/>
          <w:p>
            <w:pPr>
              <w:pStyle w:val="Compact"/>
              <w:jc w:val="left"/>
            </w:pPr>
            <w:r>
              <w:t xml:space="preserve">55,000,000</w:t>
            </w:r>
          </w:p>
        </w:tc>
        <w:tc>
          <w:tcPr/>
          <w:p>
            <w:pPr>
              <w:pStyle w:val="Compact"/>
              <w:jc w:val="left"/>
            </w:pPr>
            <w:r>
              <w:t xml:space="preserve">55,000,000</w:t>
            </w:r>
          </w:p>
        </w:tc>
      </w:tr>
      <w:tr>
        <w:tc>
          <w:tcPr/>
          <w:p>
            <w:pPr>
              <w:pStyle w:val="Compact"/>
              <w:jc w:val="left"/>
            </w:pPr>
            <w:r>
              <w:t xml:space="preserve">8</w:t>
            </w:r>
          </w:p>
        </w:tc>
        <w:tc>
          <w:tcPr/>
          <w:p>
            <w:pPr>
              <w:pStyle w:val="Compact"/>
              <w:jc w:val="left"/>
            </w:pPr>
            <w:r>
              <w:t xml:space="preserve">Coordination with Tehran Municipality for electrical permit approval</w:t>
            </w:r>
          </w:p>
        </w:tc>
        <w:tc>
          <w:tcPr/>
          <w:p>
            <w:pPr>
              <w:pStyle w:val="Compact"/>
              <w:jc w:val="left"/>
            </w:pPr>
            <w:r>
              <w:t xml:space="preserve">1 Lot</w:t>
            </w:r>
          </w:p>
        </w:tc>
        <w:tc>
          <w:tcPr/>
          <w:p>
            <w:pPr>
              <w:pStyle w:val="Compact"/>
              <w:jc w:val="left"/>
            </w:pPr>
            <w:r>
              <w:t xml:space="preserve">35,000,000</w:t>
            </w:r>
          </w:p>
        </w:tc>
        <w:tc>
          <w:tcPr/>
          <w:p>
            <w:pPr>
              <w:pStyle w:val="Compact"/>
              <w:jc w:val="left"/>
            </w:pPr>
            <w:r>
              <w:t xml:space="preserve">35,000,000</w:t>
            </w:r>
          </w:p>
        </w:tc>
      </w:tr>
      <w:tr>
        <w:tc>
          <w:tcPr>
            <w:gridSpan w:val="4"/>
          </w:tcPr>
          <w:p>
            <w:pPr>
              <w:pStyle w:val="Compact"/>
              <w:jc w:val="right"/>
            </w:pPr>
            <w:r>
              <w:t xml:space="preserve">Subtotal:</w:t>
            </w:r>
          </w:p>
        </w:tc>
        <w:tc>
          <w:tcPr/>
          <w:p>
            <w:pPr>
              <w:pStyle w:val="Compact"/>
              <w:jc w:val="left"/>
            </w:pPr>
            <w:r>
              <w:t xml:space="preserve">1,725,000,000</w:t>
            </w:r>
          </w:p>
        </w:tc>
      </w:tr>
      <w:tr>
        <w:tc>
          <w:tcPr>
            <w:gridSpan w:val="4"/>
          </w:tcPr>
          <w:p>
            <w:pPr>
              <w:pStyle w:val="Compact"/>
              <w:jc w:val="right"/>
            </w:pPr>
            <w:r>
              <w:t xml:space="preserve">VAT (10%):</w:t>
            </w:r>
          </w:p>
        </w:tc>
        <w:tc>
          <w:tcPr/>
          <w:p>
            <w:pPr>
              <w:pStyle w:val="Compact"/>
              <w:jc w:val="left"/>
            </w:pPr>
            <w:r>
              <w:t xml:space="preserve">172,500,000</w:t>
            </w:r>
          </w:p>
        </w:tc>
      </w:tr>
      <w:tr>
        <w:tc>
          <w:tcPr>
            <w:gridSpan w:val="4"/>
          </w:tcPr>
          <w:p>
            <w:pPr>
              <w:pStyle w:val="Compact"/>
              <w:jc w:val="right"/>
            </w:pPr>
            <w:r>
              <w:rPr>
                <w:bCs/>
                <w:b/>
              </w:rPr>
              <w:t xml:space="preserve">Grand Total (IRR):</w:t>
            </w:r>
          </w:p>
        </w:tc>
        <w:tc>
          <w:tcPr/>
          <w:p>
            <w:pPr>
              <w:pStyle w:val="Compact"/>
              <w:jc w:val="left"/>
            </w:pPr>
            <w:r>
              <w:rPr>
                <w:bCs/>
                <w:b/>
              </w:rPr>
              <w:t xml:space="preserve">1,897,500,000</w:t>
            </w:r>
          </w:p>
        </w:tc>
      </w:tr>
    </w:tbl>
    <w:p>
      <w:pPr>
        <w:pStyle w:val="BodyText"/>
      </w:pPr>
      <w:r>
        <w:rPr>
          <w:bCs/>
          <w:b/>
        </w:rPr>
        <w:t xml:space="preserve">Note:</w:t>
      </w:r>
      <w:r>
        <w:t xml:space="preserve"> </w:t>
      </w:r>
      <w:r>
        <w:t xml:space="preserve">All prices in this Quotation Estimate are quoted in Iranian Rials (IRR) and are valid for 30 days from the date of issue. The Electrical Engineer fees are exclusive of material procurement costs, which will be quoted separately upon client request. Travel expenses within the Tehran metropolitan area are included; travel to locations outside Iran Tehran will be billed at actual cost.</w:t>
      </w:r>
    </w:p>
    <w:p>
      <w:pPr>
        <w:pStyle w:val="BodyText"/>
      </w:pPr>
      <w:r>
        <w:t xml:space="preserve">4. Payment Schedule</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Milestone</w:t>
            </w:r>
          </w:p>
        </w:tc>
        <w:tc>
          <w:tcPr/>
          <w:p>
            <w:pPr>
              <w:pStyle w:val="Compact"/>
              <w:jc w:val="left"/>
            </w:pPr>
            <w:r>
              <w:t xml:space="preserve">Percentage</w:t>
            </w:r>
          </w:p>
        </w:tc>
        <w:tc>
          <w:tcPr/>
          <w:p>
            <w:pPr>
              <w:pStyle w:val="Compact"/>
              <w:jc w:val="left"/>
            </w:pPr>
            <w:r>
              <w:t xml:space="preserve">Amount (IRR)</w:t>
            </w:r>
          </w:p>
        </w:tc>
        <w:tc>
          <w:tcPr/>
          <w:p>
            <w:pPr>
              <w:pStyle w:val="Compact"/>
              <w:jc w:val="left"/>
            </w:pPr>
            <w:r>
              <w:t xml:space="preserve">Due Date</w:t>
            </w:r>
          </w:p>
        </w:tc>
      </w:tr>
      <w:tr>
        <w:tc>
          <w:tcPr/>
          <w:p>
            <w:pPr>
              <w:pStyle w:val="Compact"/>
              <w:jc w:val="left"/>
            </w:pPr>
            <w:r>
              <w:t xml:space="preserve">Upon signing of this Quotation Estimate</w:t>
            </w:r>
          </w:p>
        </w:tc>
        <w:tc>
          <w:tcPr/>
          <w:p>
            <w:pPr>
              <w:pStyle w:val="Compact"/>
              <w:jc w:val="left"/>
            </w:pPr>
            <w:r>
              <w:t xml:space="preserve">20%</w:t>
            </w:r>
          </w:p>
        </w:tc>
        <w:tc>
          <w:tcPr/>
          <w:p>
            <w:pPr>
              <w:pStyle w:val="Compact"/>
              <w:jc w:val="left"/>
            </w:pPr>
            <w:r>
              <w:t xml:space="preserve">379,500,000</w:t>
            </w:r>
          </w:p>
        </w:tc>
        <w:tc>
          <w:tcPr/>
          <w:p>
            <w:pPr>
              <w:pStyle w:val="Compact"/>
              <w:jc w:val="left"/>
            </w:pPr>
            <w:r>
              <w:t xml:space="preserve">Within 7 days of acceptance</w:t>
            </w:r>
          </w:p>
        </w:tc>
      </w:tr>
      <w:tr>
        <w:tc>
          <w:tcPr/>
          <w:p>
            <w:pPr>
              <w:pStyle w:val="Compact"/>
              <w:jc w:val="left"/>
            </w:pPr>
            <w:r>
              <w:t xml:space="preserve">Submission of 50% design documents</w:t>
            </w:r>
          </w:p>
        </w:tc>
        <w:tc>
          <w:tcPr/>
          <w:p>
            <w:pPr>
              <w:pStyle w:val="Compact"/>
              <w:jc w:val="left"/>
            </w:pPr>
            <w:r>
              <w:t xml:space="preserve">25%</w:t>
            </w:r>
          </w:p>
        </w:tc>
        <w:tc>
          <w:tcPr/>
          <w:p>
            <w:pPr>
              <w:pStyle w:val="Compact"/>
              <w:jc w:val="left"/>
            </w:pPr>
            <w:r>
              <w:t xml:space="preserve">474,375,000</w:t>
            </w:r>
          </w:p>
        </w:tc>
        <w:tc>
          <w:tcPr/>
          <w:p>
            <w:pPr>
              <w:pStyle w:val="Compact"/>
              <w:jc w:val="left"/>
            </w:pPr>
            <w:r>
              <w:t xml:space="preserve">Month 2</w:t>
            </w:r>
          </w:p>
        </w:tc>
      </w:tr>
      <w:tr>
        <w:tc>
          <w:tcPr/>
          <w:p>
            <w:pPr>
              <w:pStyle w:val="Compact"/>
              <w:jc w:val="left"/>
            </w:pPr>
            <w:r>
              <w:t xml:space="preserve">Submission of 100% design documents</w:t>
            </w:r>
          </w:p>
        </w:tc>
        <w:tc>
          <w:tcPr/>
          <w:p>
            <w:pPr>
              <w:pStyle w:val="Compact"/>
              <w:jc w:val="left"/>
            </w:pPr>
            <w:r>
              <w:t xml:space="preserve">20%</w:t>
            </w:r>
          </w:p>
        </w:tc>
        <w:tc>
          <w:tcPr/>
          <w:p>
            <w:pPr>
              <w:pStyle w:val="Compact"/>
              <w:jc w:val="left"/>
            </w:pPr>
            <w:r>
              <w:t xml:space="preserve">379,500,000</w:t>
            </w:r>
          </w:p>
        </w:tc>
        <w:tc>
          <w:tcPr/>
          <w:p>
            <w:pPr>
              <w:pStyle w:val="Compact"/>
              <w:jc w:val="left"/>
            </w:pPr>
            <w:r>
              <w:t xml:space="preserve">Month 4</w:t>
            </w:r>
          </w:p>
        </w:tc>
      </w:tr>
      <w:tr>
        <w:tc>
          <w:tcPr/>
          <w:p>
            <w:pPr>
              <w:pStyle w:val="Compact"/>
              <w:jc w:val="left"/>
            </w:pPr>
            <w:r>
              <w:t xml:space="preserve">Mid-construction supervision (Month 7)</w:t>
            </w:r>
          </w:p>
        </w:tc>
        <w:tc>
          <w:tcPr/>
          <w:p>
            <w:pPr>
              <w:pStyle w:val="Compact"/>
              <w:jc w:val="left"/>
            </w:pPr>
            <w:r>
              <w:t xml:space="preserve">20%</w:t>
            </w:r>
          </w:p>
        </w:tc>
        <w:tc>
          <w:tcPr/>
          <w:p>
            <w:pPr>
              <w:pStyle w:val="Compact"/>
              <w:jc w:val="left"/>
            </w:pPr>
            <w:r>
              <w:t xml:space="preserve">379,500,000</w:t>
            </w:r>
          </w:p>
        </w:tc>
        <w:tc>
          <w:tcPr/>
          <w:p>
            <w:pPr>
              <w:pStyle w:val="Compact"/>
              <w:jc w:val="left"/>
            </w:pPr>
            <w:r>
              <w:t xml:space="preserve">Month 7</w:t>
            </w:r>
          </w:p>
        </w:tc>
      </w:tr>
      <w:tr>
        <w:tc>
          <w:tcPr/>
          <w:p>
            <w:pPr>
              <w:pStyle w:val="Compact"/>
              <w:jc w:val="left"/>
            </w:pPr>
            <w:r>
              <w:t xml:space="preserve">Final commissioning and handover</w:t>
            </w:r>
          </w:p>
        </w:tc>
        <w:tc>
          <w:tcPr/>
          <w:p>
            <w:pPr>
              <w:pStyle w:val="Compact"/>
              <w:jc w:val="left"/>
            </w:pPr>
            <w:r>
              <w:t xml:space="preserve">15%</w:t>
            </w:r>
          </w:p>
        </w:tc>
        <w:tc>
          <w:tcPr/>
          <w:p>
            <w:pPr>
              <w:pStyle w:val="Compact"/>
              <w:jc w:val="left"/>
            </w:pPr>
            <w:r>
              <w:t xml:space="preserve">284,625,000</w:t>
            </w:r>
          </w:p>
        </w:tc>
        <w:tc>
          <w:tcPr/>
          <w:p>
            <w:pPr>
              <w:pStyle w:val="Compact"/>
              <w:jc w:val="left"/>
            </w:pPr>
            <w:r>
              <w:t xml:space="preserve">Month 14</w:t>
            </w:r>
          </w:p>
        </w:tc>
      </w:tr>
    </w:tbl>
    <w:p>
      <w:pPr>
        <w:pStyle w:val="BodyText"/>
      </w:pPr>
      <w:r>
        <w:t xml:space="preserve">5. Terms and Conditions</w:t>
      </w:r>
    </w:p>
    <w:p>
      <w:pPr>
        <w:numPr>
          <w:ilvl w:val="0"/>
          <w:numId w:val="1001"/>
        </w:numPr>
        <w:pStyle w:val="Compact"/>
      </w:pPr>
      <w:r>
        <w:t xml:space="preserve">This Quotation Estimate is valid for thirty (30) calendar days from the date of issue. After the expiry date, the Electrical Engineer team reserves the right to revise pricing due to market fluctuations in Iran Tehran.</w:t>
      </w:r>
    </w:p>
    <w:p>
      <w:pPr>
        <w:numPr>
          <w:ilvl w:val="0"/>
          <w:numId w:val="1001"/>
        </w:numPr>
        <w:pStyle w:val="Compact"/>
      </w:pPr>
      <w:r>
        <w:t xml:space="preserve">All design work shall be performed by a licensed Electrical Engineer registered with the Iranian Engineering Organization and holding a valid professional license for practice in Iran Tehran.</w:t>
      </w:r>
    </w:p>
    <w:p>
      <w:pPr>
        <w:numPr>
          <w:ilvl w:val="0"/>
          <w:numId w:val="1001"/>
        </w:numPr>
        <w:pStyle w:val="Compact"/>
      </w:pPr>
      <w:r>
        <w:t xml:space="preserve">The project timeline assumes standard working hours (Saturday to Wednesday, 8:00 AM to 5:00 PM) in accordance with the work week in Iran Tehran. Overtime or weekend work will be charged at 1.5x the standard rate.</w:t>
      </w:r>
    </w:p>
    <w:p>
      <w:pPr>
        <w:numPr>
          <w:ilvl w:val="0"/>
          <w:numId w:val="1001"/>
        </w:numPr>
        <w:pStyle w:val="Compact"/>
      </w:pPr>
      <w:r>
        <w:t xml:space="preserve">Any changes to the scope of work requested by the client after the initial design phase will be subject to a revised Quotation Estimate and a written change order signed by both parties.</w:t>
      </w:r>
    </w:p>
    <w:p>
      <w:pPr>
        <w:numPr>
          <w:ilvl w:val="0"/>
          <w:numId w:val="1001"/>
        </w:numPr>
        <w:pStyle w:val="Compact"/>
      </w:pPr>
      <w:r>
        <w:t xml:space="preserve">The Electrical Engineer shall provide weekly progress reports and attend bi-weekly coordination meetings at the project site in Iran Tehran.</w:t>
      </w:r>
    </w:p>
    <w:p>
      <w:pPr>
        <w:numPr>
          <w:ilvl w:val="0"/>
          <w:numId w:val="1001"/>
        </w:numPr>
        <w:pStyle w:val="Compact"/>
      </w:pPr>
      <w:r>
        <w:t xml:space="preserve">All deliverables shall be provided in both Persian (Farsi) and English to facilitate communication with the Tehran Municipality and international stakeholders.</w:t>
      </w:r>
    </w:p>
    <w:p>
      <w:pPr>
        <w:numPr>
          <w:ilvl w:val="0"/>
          <w:numId w:val="1001"/>
        </w:numPr>
        <w:pStyle w:val="Compact"/>
      </w:pPr>
      <w:r>
        <w:t xml:space="preserve">Disputes arising from this Quotation Estimate shall be resolved through arbitration in accordance with the laws of the Islamic Republic of Iran, with the seat of arbitration in Tehran.</w:t>
      </w:r>
    </w:p>
    <w:p>
      <w:pPr>
        <w:numPr>
          <w:ilvl w:val="0"/>
          <w:numId w:val="1001"/>
        </w:numPr>
        <w:pStyle w:val="Compact"/>
      </w:pPr>
      <w:r>
        <w:t xml:space="preserve">The Electrical Engineer shall maintain professional liability insurance with a minimum coverage of 5,000,000,000 IRR for the duration of the project.</w:t>
      </w:r>
    </w:p>
    <w:p>
      <w:pPr>
        <w:numPr>
          <w:ilvl w:val="0"/>
          <w:numId w:val="1001"/>
        </w:numPr>
        <w:pStyle w:val="Compact"/>
      </w:pPr>
      <w:r>
        <w:t xml:space="preserve">Confidentiality: All project data, drawings, and technical information shared in connection with this Quotation Estimate shall be treated as confidential and shall not be disclosed to third parties without written consent.</w:t>
      </w:r>
    </w:p>
    <w:p>
      <w:pPr>
        <w:pStyle w:val="FirstParagraph"/>
      </w:pPr>
      <w:r>
        <w:t xml:space="preserve">6. Acceptance and Authorization</w:t>
      </w:r>
    </w:p>
    <w:p>
      <w:pPr>
        <w:pStyle w:val="BodyText"/>
      </w:pPr>
      <w:r>
        <w:t xml:space="preserve">By signing below, the client acknowledges and accepts the terms, conditions, and pricing outlined in this Quotation Estimate for the Electrical Engineer services to be performed in Iran Tehran. This document, once signed by both parties, constitutes a binding agreement for the scope of work described herein.</w:t>
      </w:r>
    </w:p>
    <w:p>
      <w:pPr>
        <w:pStyle w:val="BodyText"/>
      </w:pPr>
      <w:r>
        <w:rPr>
          <w:bCs/>
          <w:b/>
        </w:rPr>
        <w:t xml:space="preserve">Prepared by (Electrical Engineer)</w:t>
      </w:r>
      <w:r>
        <w:br/>
      </w:r>
      <w:r>
        <w:t xml:space="preserve">Eng. Saeid Mohammadi, P.E.</w:t>
      </w:r>
      <w:r>
        <w:br/>
      </w:r>
      <w:r>
        <w:t xml:space="preserve">License No. 78-4521</w:t>
      </w:r>
      <w:r>
        <w:br/>
      </w:r>
      <w:r>
        <w:t xml:space="preserve">Tehran Electrical Engineering Solutions Co.</w:t>
      </w:r>
      <w:r>
        <w:br/>
      </w:r>
      <w:r>
        <w:t xml:space="preserve">Date: _______________</w:t>
      </w:r>
    </w:p>
    <w:p>
      <w:pPr>
        <w:pStyle w:val="BodyText"/>
      </w:pPr>
      <w:r>
        <w:rPr>
          <w:bCs/>
          <w:b/>
        </w:rPr>
        <w:t xml:space="preserve">Accepted by (Client)</w:t>
      </w:r>
      <w:r>
        <w:br/>
      </w:r>
      <w:r>
        <w:t xml:space="preserve">Mr. Ahmad Reza Karimi</w:t>
      </w:r>
      <w:r>
        <w:br/>
      </w:r>
      <w:r>
        <w:t xml:space="preserve">Client ID: CL-2025-0891</w:t>
      </w:r>
      <w:r>
        <w:br/>
      </w:r>
      <w:r>
        <w:t xml:space="preserve">Date: _______________</w:t>
      </w:r>
    </w:p>
    <w:p>
      <w:pPr>
        <w:pStyle w:val="BodyText"/>
      </w:pPr>
      <w:r>
        <w:t xml:space="preserve">This Quotation Estimate was prepared by Tehran Electrical Engineering Solutions Co., Ltd. for use in Iran Tehran. Document Ref: QTE-2025-TEH-0347 | Page 1 of 1</w:t>
      </w:r>
    </w:p>
    <w:p>
      <w:pPr>
        <w:pStyle w:val="BodyText"/>
      </w:pPr>
      <w:r>
        <w:t xml:space="preserve">© 2025 Tehran Electrical Engineering Solutions Co., Ltd.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Electrical Engineer Services - Iran Tehran</dc:title>
  <dc:creator/>
  <dc:language>en</dc:language>
  <cp:keywords/>
  <dcterms:created xsi:type="dcterms:W3CDTF">2026-10-10T01:02:42Z</dcterms:created>
  <dcterms:modified xsi:type="dcterms:W3CDTF">2026-10-10T01:02:42Z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